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宋体" w:hAnsi="宋体"/>
          <w:sz w:val="24"/>
          <w:szCs w:val="24"/>
        </w:rPr>
      </w:pPr>
      <w:r>
        <w:rPr>
          <w:rFonts w:hint="eastAsia" w:ascii="宋体" w:hAnsi="宋体"/>
          <w:sz w:val="24"/>
          <w:szCs w:val="24"/>
        </w:rPr>
        <w:t>附件2：</w:t>
      </w:r>
      <w:bookmarkStart w:id="1" w:name="_GoBack"/>
      <w:bookmarkEnd w:id="1"/>
    </w:p>
    <w:p>
      <w:pPr>
        <w:spacing w:line="360" w:lineRule="auto"/>
        <w:rPr>
          <w:rFonts w:hint="eastAsia" w:ascii="宋体" w:hAnsi="宋体"/>
          <w:sz w:val="24"/>
          <w:szCs w:val="24"/>
        </w:rPr>
      </w:pPr>
    </w:p>
    <w:p>
      <w:pPr>
        <w:pStyle w:val="5"/>
        <w:spacing w:line="360" w:lineRule="auto"/>
        <w:rPr>
          <w:rFonts w:hint="eastAsia"/>
          <w:color w:val="auto"/>
        </w:rPr>
      </w:pPr>
      <w:r>
        <w:rPr>
          <w:rFonts w:hint="eastAsia"/>
          <w:color w:val="auto"/>
        </w:rPr>
        <w:t>202</w:t>
      </w:r>
      <w:r>
        <w:rPr>
          <w:rFonts w:hint="eastAsia"/>
          <w:color w:val="auto"/>
          <w:lang w:val="en-US" w:eastAsia="zh-CN"/>
        </w:rPr>
        <w:t>2</w:t>
      </w:r>
      <w:r>
        <w:rPr>
          <w:rFonts w:hint="eastAsia"/>
          <w:color w:val="auto"/>
        </w:rPr>
        <w:t>年四川职业技术学院单独招生考试</w:t>
      </w:r>
    </w:p>
    <w:p>
      <w:pPr>
        <w:pStyle w:val="5"/>
        <w:spacing w:line="360" w:lineRule="auto"/>
        <w:rPr>
          <w:rFonts w:hint="eastAsia"/>
          <w:color w:val="auto"/>
        </w:rPr>
      </w:pPr>
      <w:bookmarkStart w:id="0" w:name="_Toc65053205"/>
      <w:r>
        <w:rPr>
          <w:rFonts w:hint="eastAsia"/>
          <w:color w:val="auto"/>
          <w:u w:val="single"/>
          <w:lang w:val="en-US" w:eastAsia="zh-CN"/>
        </w:rPr>
        <w:t xml:space="preserve">        </w:t>
      </w:r>
      <w:r>
        <w:rPr>
          <w:rFonts w:hint="eastAsia"/>
          <w:color w:val="auto"/>
        </w:rPr>
        <w:t>专业技能测试考试大纲</w:t>
      </w:r>
      <w:bookmarkEnd w:id="0"/>
    </w:p>
    <w:p>
      <w:pPr>
        <w:spacing w:line="400" w:lineRule="exact"/>
        <w:ind w:firstLine="560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按照《四川职业技术学院202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>2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年普通高等学校高职教育单独考试招生章程》对“中职类”考生的考试要求，特制订</w:t>
      </w:r>
      <w:r>
        <w:rPr>
          <w:rFonts w:hint="eastAsia" w:ascii="宋体" w:hAnsi="宋体" w:eastAsia="宋体" w:cs="宋体"/>
          <w:color w:val="auto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专业技能测试考试大纲。</w:t>
      </w:r>
    </w:p>
    <w:p>
      <w:pPr>
        <w:spacing w:line="400" w:lineRule="exact"/>
        <w:ind w:firstLine="562"/>
        <w:outlineLvl w:val="1"/>
        <w:rPr>
          <w:rFonts w:hint="eastAsia" w:ascii="宋体" w:hAnsi="宋体" w:eastAsia="宋体" w:cs="宋体"/>
          <w:b/>
          <w:color w:val="auto"/>
          <w:sz w:val="24"/>
          <w:szCs w:val="24"/>
        </w:rPr>
      </w:pPr>
      <w:r>
        <w:rPr>
          <w:rFonts w:hint="eastAsia" w:ascii="宋体" w:hAnsi="宋体" w:eastAsia="宋体" w:cs="宋体"/>
          <w:b/>
          <w:color w:val="auto"/>
          <w:sz w:val="24"/>
          <w:szCs w:val="24"/>
        </w:rPr>
        <w:t>一、测试性质</w:t>
      </w:r>
    </w:p>
    <w:p>
      <w:pPr>
        <w:pStyle w:val="6"/>
        <w:spacing w:line="400" w:lineRule="exact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本专业技能测试考试是中等职业学校（含普通中专、职业高中、技工学校和成人中专）</w:t>
      </w:r>
      <w:r>
        <w:rPr>
          <w:rFonts w:hint="eastAsia" w:ascii="宋体" w:hAnsi="宋体" w:eastAsia="宋体" w:cs="宋体"/>
          <w:color w:val="auto"/>
          <w:sz w:val="24"/>
          <w:szCs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color w:val="auto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类专业毕业生报考四川职业技术学院</w:t>
      </w:r>
      <w:r>
        <w:rPr>
          <w:rFonts w:hint="eastAsia" w:ascii="宋体" w:hAnsi="宋体" w:eastAsia="宋体" w:cs="宋体"/>
          <w:color w:val="auto"/>
          <w:sz w:val="24"/>
          <w:szCs w:val="24"/>
          <w:u w:val="single"/>
          <w:lang w:val="en-US" w:eastAsia="zh-CN"/>
        </w:rPr>
        <w:t xml:space="preserve">        </w:t>
      </w:r>
      <w:r>
        <w:rPr>
          <w:rFonts w:hint="eastAsia" w:ascii="宋体" w:hAnsi="宋体" w:eastAsia="宋体" w:cs="宋体"/>
          <w:color w:val="auto"/>
          <w:sz w:val="24"/>
          <w:szCs w:val="24"/>
        </w:rPr>
        <w:t>专业单独招生的选拔性考试。</w:t>
      </w:r>
    </w:p>
    <w:p>
      <w:pPr>
        <w:pStyle w:val="7"/>
        <w:spacing w:line="400" w:lineRule="exact"/>
        <w:ind w:firstLine="562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二、测试依据</w:t>
      </w:r>
    </w:p>
    <w:p>
      <w:pPr>
        <w:adjustRightInd w:val="0"/>
        <w:snapToGrid w:val="0"/>
        <w:spacing w:line="400" w:lineRule="exact"/>
        <w:ind w:firstLine="560"/>
        <w:rPr>
          <w:rFonts w:hint="eastAsia" w:ascii="宋体" w:hAnsi="宋体" w:eastAsia="宋体" w:cs="宋体"/>
          <w:bCs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4"/>
          <w:lang w:val="en-US" w:eastAsia="zh-CN"/>
        </w:rPr>
        <w:t>1.</w:t>
      </w:r>
    </w:p>
    <w:p>
      <w:pPr>
        <w:adjustRightInd w:val="0"/>
        <w:snapToGrid w:val="0"/>
        <w:spacing w:line="400" w:lineRule="exact"/>
        <w:ind w:firstLine="560"/>
        <w:rPr>
          <w:rFonts w:hint="eastAsia" w:ascii="宋体" w:hAnsi="宋体" w:eastAsia="宋体" w:cs="宋体"/>
          <w:bCs/>
          <w:color w:val="auto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4"/>
          <w:lang w:val="en-US" w:eastAsia="zh-CN"/>
        </w:rPr>
        <w:t>2.</w:t>
      </w:r>
    </w:p>
    <w:p>
      <w:pPr>
        <w:pStyle w:val="7"/>
        <w:spacing w:line="400" w:lineRule="exact"/>
        <w:ind w:firstLine="562"/>
        <w:rPr>
          <w:rFonts w:hint="eastAsia" w:ascii="宋体" w:hAnsi="宋体" w:eastAsia="宋体" w:cs="宋体"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sz w:val="24"/>
          <w:szCs w:val="24"/>
        </w:rPr>
        <w:t>三、测试内容和要求</w:t>
      </w:r>
    </w:p>
    <w:p>
      <w:pPr>
        <w:adjustRightInd w:val="0"/>
        <w:snapToGrid w:val="0"/>
        <w:spacing w:line="400" w:lineRule="exact"/>
        <w:ind w:firstLine="562"/>
        <w:rPr>
          <w:rFonts w:hint="eastAsia" w:ascii="宋体" w:hAnsi="宋体" w:eastAsia="宋体" w:cs="宋体"/>
          <w:b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color w:val="auto"/>
          <w:sz w:val="24"/>
          <w:szCs w:val="24"/>
        </w:rPr>
        <w:t>（一）测试</w:t>
      </w:r>
      <w:r>
        <w:rPr>
          <w:rFonts w:hint="eastAsia" w:ascii="宋体" w:hAnsi="宋体" w:eastAsia="宋体" w:cs="宋体"/>
          <w:b/>
          <w:color w:val="auto"/>
          <w:sz w:val="24"/>
          <w:szCs w:val="24"/>
          <w:lang w:val="en-US" w:eastAsia="zh-CN"/>
        </w:rPr>
        <w:t>内容（根据各专业特点，确定是否设计选项目）</w:t>
      </w:r>
    </w:p>
    <w:p>
      <w:pPr>
        <w:adjustRightInd w:val="0"/>
        <w:snapToGrid w:val="0"/>
        <w:spacing w:line="400" w:lineRule="exact"/>
        <w:ind w:firstLine="560"/>
        <w:rPr>
          <w:rFonts w:hint="eastAsia" w:ascii="宋体" w:hAnsi="宋体" w:eastAsia="宋体" w:cs="宋体"/>
          <w:bCs/>
          <w:color w:val="auto"/>
          <w:sz w:val="24"/>
          <w:szCs w:val="24"/>
        </w:rPr>
      </w:pPr>
    </w:p>
    <w:p>
      <w:pPr>
        <w:adjustRightInd w:val="0"/>
        <w:snapToGrid w:val="0"/>
        <w:spacing w:line="400" w:lineRule="exact"/>
        <w:ind w:firstLine="562"/>
        <w:rPr>
          <w:rFonts w:hint="eastAsia" w:ascii="宋体" w:hAnsi="宋体" w:eastAsia="宋体" w:cs="宋体"/>
          <w:b/>
          <w:color w:val="auto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auto"/>
          <w:sz w:val="24"/>
          <w:szCs w:val="24"/>
        </w:rPr>
        <w:t>（二）</w:t>
      </w:r>
      <w:r>
        <w:rPr>
          <w:rFonts w:hint="eastAsia" w:ascii="宋体" w:hAnsi="宋体" w:eastAsia="宋体" w:cs="宋体"/>
          <w:b/>
          <w:color w:val="auto"/>
          <w:sz w:val="24"/>
          <w:szCs w:val="24"/>
        </w:rPr>
        <w:t>测试方法</w:t>
      </w:r>
    </w:p>
    <w:p>
      <w:pPr>
        <w:adjustRightInd w:val="0"/>
        <w:snapToGrid w:val="0"/>
        <w:spacing w:line="400" w:lineRule="exact"/>
        <w:ind w:firstLine="560"/>
        <w:rPr>
          <w:rFonts w:hint="eastAsia" w:ascii="宋体" w:hAnsi="宋体" w:eastAsia="宋体" w:cs="宋体"/>
          <w:bCs/>
          <w:color w:val="auto"/>
          <w:sz w:val="24"/>
          <w:szCs w:val="24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4"/>
        </w:rPr>
        <w:t>项目采用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u w:val="single"/>
          <w:lang w:val="en-US" w:eastAsia="zh-CN"/>
        </w:rPr>
        <w:t xml:space="preserve">          </w:t>
      </w:r>
      <w:r>
        <w:rPr>
          <w:rFonts w:hint="eastAsia" w:ascii="宋体" w:hAnsi="宋体" w:eastAsia="宋体" w:cs="宋体"/>
          <w:bCs/>
          <w:color w:val="auto"/>
          <w:sz w:val="24"/>
          <w:szCs w:val="24"/>
        </w:rPr>
        <w:t>的测试方法。</w:t>
      </w:r>
    </w:p>
    <w:p>
      <w:pPr>
        <w:adjustRightInd w:val="0"/>
        <w:snapToGrid w:val="0"/>
        <w:spacing w:line="400" w:lineRule="exact"/>
        <w:ind w:firstLine="562"/>
        <w:rPr>
          <w:rFonts w:hint="eastAsia" w:ascii="宋体" w:hAnsi="宋体" w:eastAsia="宋体" w:cs="宋体"/>
          <w:b/>
          <w:color w:val="auto"/>
          <w:sz w:val="24"/>
          <w:szCs w:val="24"/>
        </w:rPr>
      </w:pPr>
      <w:r>
        <w:rPr>
          <w:rFonts w:hint="eastAsia" w:ascii="宋体" w:hAnsi="宋体" w:eastAsia="宋体" w:cs="宋体"/>
          <w:b/>
          <w:color w:val="auto"/>
          <w:sz w:val="24"/>
          <w:szCs w:val="24"/>
        </w:rPr>
        <w:t>（三）测试时间</w:t>
      </w:r>
    </w:p>
    <w:p>
      <w:pPr>
        <w:adjustRightInd w:val="0"/>
        <w:snapToGrid w:val="0"/>
        <w:spacing w:line="400" w:lineRule="exact"/>
        <w:ind w:firstLine="560"/>
        <w:rPr>
          <w:rFonts w:hint="eastAsia" w:ascii="宋体" w:hAnsi="宋体" w:eastAsia="宋体" w:cs="宋体"/>
          <w:bCs/>
          <w:color w:val="auto"/>
          <w:sz w:val="24"/>
          <w:szCs w:val="24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4"/>
        </w:rPr>
        <w:t>测试时间：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 w:cs="宋体"/>
          <w:bCs/>
          <w:color w:val="auto"/>
          <w:sz w:val="24"/>
          <w:szCs w:val="24"/>
        </w:rPr>
        <w:t>分钟。</w:t>
      </w:r>
    </w:p>
    <w:p>
      <w:pPr>
        <w:adjustRightInd w:val="0"/>
        <w:snapToGrid w:val="0"/>
        <w:spacing w:line="400" w:lineRule="exact"/>
        <w:ind w:firstLine="562"/>
        <w:rPr>
          <w:rFonts w:hint="eastAsia" w:ascii="宋体" w:hAnsi="宋体" w:eastAsia="宋体" w:cs="宋体"/>
          <w:b/>
          <w:color w:val="auto"/>
          <w:sz w:val="24"/>
          <w:szCs w:val="24"/>
        </w:rPr>
      </w:pPr>
      <w:r>
        <w:rPr>
          <w:rFonts w:hint="eastAsia" w:ascii="宋体" w:hAnsi="宋体" w:eastAsia="宋体" w:cs="宋体"/>
          <w:b/>
          <w:color w:val="auto"/>
          <w:sz w:val="24"/>
          <w:szCs w:val="24"/>
        </w:rPr>
        <w:t>（四）分值比例及评分办法</w:t>
      </w:r>
    </w:p>
    <w:p>
      <w:pPr>
        <w:adjustRightInd w:val="0"/>
        <w:snapToGrid w:val="0"/>
        <w:spacing w:line="400" w:lineRule="exact"/>
        <w:ind w:firstLine="560"/>
        <w:rPr>
          <w:rFonts w:hint="eastAsia" w:ascii="宋体" w:hAnsi="宋体" w:eastAsia="宋体" w:cs="宋体"/>
          <w:b/>
          <w:color w:val="auto"/>
          <w:sz w:val="24"/>
          <w:szCs w:val="24"/>
        </w:rPr>
      </w:pPr>
      <w:r>
        <w:rPr>
          <w:rFonts w:hint="eastAsia" w:ascii="宋体" w:hAnsi="宋体" w:eastAsia="宋体" w:cs="宋体"/>
          <w:color w:val="auto"/>
          <w:kern w:val="0"/>
          <w:sz w:val="24"/>
          <w:szCs w:val="24"/>
        </w:rPr>
        <w:t>专业技能测试总分为200分。</w:t>
      </w:r>
    </w:p>
    <w:p>
      <w:pPr>
        <w:adjustRightInd w:val="0"/>
        <w:snapToGrid w:val="0"/>
        <w:spacing w:line="400" w:lineRule="exact"/>
        <w:ind w:firstLine="560"/>
        <w:rPr>
          <w:rFonts w:hint="eastAsia" w:ascii="宋体" w:hAnsi="宋体" w:eastAsia="宋体" w:cs="宋体"/>
          <w:bCs/>
          <w:color w:val="auto"/>
          <w:sz w:val="24"/>
          <w:szCs w:val="24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4"/>
        </w:rPr>
        <w:t>1.分值比例</w:t>
      </w:r>
    </w:p>
    <w:p>
      <w:pPr>
        <w:adjustRightInd w:val="0"/>
        <w:snapToGrid w:val="0"/>
        <w:spacing w:line="400" w:lineRule="exact"/>
        <w:ind w:firstLine="560"/>
        <w:rPr>
          <w:rFonts w:hint="eastAsia" w:ascii="宋体" w:hAnsi="宋体" w:eastAsia="宋体" w:cs="宋体"/>
          <w:bCs/>
          <w:color w:val="auto"/>
          <w:sz w:val="24"/>
          <w:szCs w:val="24"/>
          <w:u w:val="none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4"/>
          <w:u w:val="none"/>
        </w:rPr>
        <w:t>（1）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u w:val="none"/>
        </w:rPr>
        <w:tab/>
      </w:r>
      <w:r>
        <w:rPr>
          <w:rFonts w:hint="eastAsia" w:ascii="宋体" w:hAnsi="宋体" w:eastAsia="宋体" w:cs="宋体"/>
          <w:bCs/>
          <w:color w:val="auto"/>
          <w:sz w:val="24"/>
          <w:szCs w:val="24"/>
          <w:u w:val="none"/>
        </w:rPr>
        <w:tab/>
      </w:r>
      <w:r>
        <w:rPr>
          <w:rFonts w:hint="eastAsia" w:ascii="宋体" w:hAnsi="宋体" w:eastAsia="宋体" w:cs="宋体"/>
          <w:bCs/>
          <w:color w:val="auto"/>
          <w:sz w:val="24"/>
          <w:szCs w:val="24"/>
          <w:u w:val="none"/>
        </w:rPr>
        <w:tab/>
      </w:r>
      <w:r>
        <w:rPr>
          <w:rFonts w:hint="eastAsia" w:ascii="宋体" w:hAnsi="宋体" w:eastAsia="宋体" w:cs="宋体"/>
          <w:bCs/>
          <w:color w:val="auto"/>
          <w:sz w:val="24"/>
          <w:szCs w:val="24"/>
          <w:u w:val="none"/>
        </w:rPr>
        <w:tab/>
      </w:r>
      <w:r>
        <w:rPr>
          <w:rFonts w:hint="eastAsia" w:ascii="宋体" w:hAnsi="宋体" w:eastAsia="宋体" w:cs="宋体"/>
          <w:bCs/>
          <w:color w:val="auto"/>
          <w:sz w:val="24"/>
          <w:szCs w:val="24"/>
          <w:u w:val="none"/>
        </w:rPr>
        <w:tab/>
      </w:r>
      <w:r>
        <w:rPr>
          <w:rFonts w:hint="eastAsia" w:ascii="宋体" w:hAnsi="宋体" w:eastAsia="宋体" w:cs="宋体"/>
          <w:bCs/>
          <w:color w:val="auto"/>
          <w:sz w:val="24"/>
          <w:szCs w:val="24"/>
          <w:u w:val="none"/>
        </w:rPr>
        <w:tab/>
      </w:r>
      <w:r>
        <w:rPr>
          <w:rFonts w:hint="eastAsia" w:ascii="宋体" w:hAnsi="宋体" w:eastAsia="宋体" w:cs="宋体"/>
          <w:bCs/>
          <w:color w:val="auto"/>
          <w:sz w:val="24"/>
          <w:szCs w:val="24"/>
          <w:u w:val="none"/>
        </w:rPr>
        <w:t>约占10%；</w:t>
      </w:r>
    </w:p>
    <w:p>
      <w:pPr>
        <w:adjustRightInd w:val="0"/>
        <w:snapToGrid w:val="0"/>
        <w:spacing w:line="400" w:lineRule="exact"/>
        <w:ind w:firstLine="560"/>
        <w:rPr>
          <w:rFonts w:hint="eastAsia" w:ascii="宋体" w:hAnsi="宋体" w:eastAsia="宋体" w:cs="宋体"/>
          <w:bCs/>
          <w:color w:val="auto"/>
          <w:sz w:val="24"/>
          <w:szCs w:val="24"/>
          <w:u w:val="none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4"/>
          <w:u w:val="none"/>
        </w:rPr>
        <w:t>（2）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u w:val="none"/>
        </w:rPr>
        <w:tab/>
      </w:r>
      <w:r>
        <w:rPr>
          <w:rFonts w:hint="eastAsia" w:ascii="宋体" w:hAnsi="宋体" w:eastAsia="宋体" w:cs="宋体"/>
          <w:bCs/>
          <w:color w:val="auto"/>
          <w:sz w:val="24"/>
          <w:szCs w:val="24"/>
          <w:u w:val="none"/>
        </w:rPr>
        <w:tab/>
      </w:r>
      <w:r>
        <w:rPr>
          <w:rFonts w:hint="eastAsia" w:ascii="宋体" w:hAnsi="宋体" w:eastAsia="宋体" w:cs="宋体"/>
          <w:bCs/>
          <w:color w:val="auto"/>
          <w:sz w:val="24"/>
          <w:szCs w:val="24"/>
          <w:u w:val="none"/>
        </w:rPr>
        <w:tab/>
      </w:r>
      <w:r>
        <w:rPr>
          <w:rFonts w:hint="eastAsia" w:ascii="宋体" w:hAnsi="宋体" w:eastAsia="宋体" w:cs="宋体"/>
          <w:bCs/>
          <w:color w:val="auto"/>
          <w:sz w:val="24"/>
          <w:szCs w:val="24"/>
          <w:u w:val="none"/>
        </w:rPr>
        <w:tab/>
      </w:r>
      <w:r>
        <w:rPr>
          <w:rFonts w:hint="eastAsia" w:ascii="宋体" w:hAnsi="宋体" w:eastAsia="宋体" w:cs="宋体"/>
          <w:bCs/>
          <w:color w:val="auto"/>
          <w:sz w:val="24"/>
          <w:szCs w:val="24"/>
          <w:u w:val="none"/>
        </w:rPr>
        <w:tab/>
      </w:r>
      <w:r>
        <w:rPr>
          <w:rFonts w:hint="eastAsia" w:ascii="宋体" w:hAnsi="宋体" w:eastAsia="宋体" w:cs="宋体"/>
          <w:bCs/>
          <w:color w:val="auto"/>
          <w:sz w:val="24"/>
          <w:szCs w:val="24"/>
          <w:u w:val="none"/>
        </w:rPr>
        <w:tab/>
      </w:r>
      <w:r>
        <w:rPr>
          <w:rFonts w:hint="eastAsia" w:ascii="宋体" w:hAnsi="宋体" w:eastAsia="宋体" w:cs="宋体"/>
          <w:bCs/>
          <w:color w:val="auto"/>
          <w:sz w:val="24"/>
          <w:szCs w:val="24"/>
          <w:u w:val="none"/>
        </w:rPr>
        <w:t>约占10%；</w:t>
      </w:r>
    </w:p>
    <w:p>
      <w:pPr>
        <w:adjustRightInd w:val="0"/>
        <w:snapToGrid w:val="0"/>
        <w:spacing w:line="400" w:lineRule="exact"/>
        <w:ind w:firstLine="560"/>
        <w:rPr>
          <w:rFonts w:hint="eastAsia" w:ascii="宋体" w:hAnsi="宋体" w:eastAsia="宋体" w:cs="宋体"/>
          <w:bCs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Cs/>
          <w:color w:val="auto"/>
          <w:sz w:val="24"/>
          <w:szCs w:val="24"/>
        </w:rPr>
        <w:t>2.评分办法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lang w:val="en-US" w:eastAsia="zh-CN"/>
        </w:rPr>
        <w:t>根据测试方法，自行确定</w:t>
      </w:r>
      <w:r>
        <w:rPr>
          <w:rFonts w:hint="eastAsia" w:ascii="宋体" w:hAnsi="宋体" w:eastAsia="宋体" w:cs="宋体"/>
          <w:bCs/>
          <w:color w:val="auto"/>
          <w:sz w:val="24"/>
          <w:szCs w:val="24"/>
          <w:lang w:eastAsia="zh-CN"/>
        </w:rPr>
        <w:t>）</w:t>
      </w:r>
    </w:p>
    <w:p>
      <w:pPr>
        <w:adjustRightInd w:val="0"/>
        <w:snapToGrid w:val="0"/>
        <w:spacing w:line="400" w:lineRule="exact"/>
        <w:ind w:firstLine="560"/>
        <w:rPr>
          <w:rFonts w:hint="eastAsia" w:ascii="宋体" w:hAnsi="宋体" w:eastAsia="宋体" w:cs="宋体"/>
          <w:color w:val="auto"/>
          <w:sz w:val="24"/>
          <w:szCs w:val="24"/>
        </w:rPr>
      </w:pPr>
    </w:p>
    <w:p>
      <w:pPr>
        <w:adjustRightInd w:val="0"/>
        <w:snapToGrid w:val="0"/>
        <w:spacing w:line="400" w:lineRule="exact"/>
        <w:ind w:firstLine="562"/>
        <w:rPr>
          <w:rFonts w:hint="eastAsia" w:ascii="宋体" w:hAnsi="宋体" w:eastAsia="宋体" w:cs="宋体"/>
          <w:b/>
          <w:color w:val="auto"/>
          <w:sz w:val="24"/>
          <w:szCs w:val="24"/>
        </w:rPr>
      </w:pPr>
      <w:r>
        <w:rPr>
          <w:rFonts w:hint="eastAsia" w:ascii="宋体" w:hAnsi="宋体" w:eastAsia="宋体" w:cs="宋体"/>
          <w:b/>
          <w:color w:val="auto"/>
          <w:sz w:val="24"/>
          <w:szCs w:val="24"/>
        </w:rPr>
        <w:t>（五）主要测试点</w:t>
      </w:r>
    </w:p>
    <w:p>
      <w:pPr>
        <w:adjustRightInd w:val="0"/>
        <w:snapToGrid w:val="0"/>
        <w:spacing w:line="360" w:lineRule="exact"/>
        <w:ind w:firstLine="562"/>
        <w:rPr>
          <w:rFonts w:hint="eastAsia" w:ascii="宋体" w:hAnsi="宋体" w:eastAsia="宋体" w:cs="宋体"/>
          <w:b/>
          <w:color w:val="auto"/>
          <w:sz w:val="24"/>
          <w:szCs w:val="24"/>
        </w:rPr>
      </w:pPr>
    </w:p>
    <w:tbl>
      <w:tblPr>
        <w:tblStyle w:val="3"/>
        <w:tblW w:w="842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3"/>
        <w:gridCol w:w="1749"/>
        <w:gridCol w:w="4551"/>
        <w:gridCol w:w="11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5" w:hRule="atLeast"/>
        </w:trPr>
        <w:tc>
          <w:tcPr>
            <w:tcW w:w="973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序号</w:t>
            </w:r>
          </w:p>
        </w:tc>
        <w:tc>
          <w:tcPr>
            <w:tcW w:w="1749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val="en-US" w:eastAsia="zh-CN"/>
              </w:rPr>
              <w:t>名称</w:t>
            </w:r>
          </w:p>
        </w:tc>
        <w:tc>
          <w:tcPr>
            <w:tcW w:w="4551" w:type="dxa"/>
            <w:tcBorders>
              <w:top w:val="outset" w:color="auto" w:sz="6" w:space="0"/>
              <w:left w:val="outset" w:color="auto" w:sz="6" w:space="0"/>
              <w:bottom w:val="single" w:color="auto" w:sz="4" w:space="0"/>
              <w:right w:val="outset" w:color="auto" w:sz="6" w:space="0"/>
            </w:tcBorders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</w:rPr>
              <w:t>主要测试点</w:t>
            </w:r>
          </w:p>
        </w:tc>
        <w:tc>
          <w:tcPr>
            <w:tcW w:w="1155" w:type="dxa"/>
            <w:tcBorders>
              <w:top w:val="outset" w:color="auto" w:sz="6" w:space="0"/>
              <w:left w:val="single" w:color="auto" w:sz="4" w:space="0"/>
              <w:bottom w:val="outset" w:color="auto" w:sz="6" w:space="0"/>
              <w:right w:val="outset" w:color="auto" w:sz="6" w:space="0"/>
            </w:tcBorders>
            <w:noWrap w:val="0"/>
            <w:vAlign w:val="center"/>
          </w:tcPr>
          <w:p>
            <w:pPr>
              <w:pStyle w:val="2"/>
              <w:ind w:firstLine="0" w:firstLineChars="0"/>
              <w:jc w:val="center"/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kern w:val="2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973" w:type="dxa"/>
            <w:vMerge w:val="restar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749" w:type="dxa"/>
            <w:vMerge w:val="restart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4551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60" w:lineRule="exact"/>
              <w:ind w:firstLine="0" w:firstLineChars="0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155" w:type="dxa"/>
            <w:vMerge w:val="restart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" w:hRule="atLeast"/>
        </w:trPr>
        <w:tc>
          <w:tcPr>
            <w:tcW w:w="973" w:type="dxa"/>
            <w:vMerge w:val="continue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749" w:type="dxa"/>
            <w:vMerge w:val="continue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</w:pPr>
          </w:p>
        </w:tc>
        <w:tc>
          <w:tcPr>
            <w:tcW w:w="4551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60" w:lineRule="exact"/>
              <w:ind w:firstLine="0" w:firstLineChars="0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155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" w:hRule="atLeast"/>
        </w:trPr>
        <w:tc>
          <w:tcPr>
            <w:tcW w:w="973" w:type="dxa"/>
            <w:vMerge w:val="continue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749" w:type="dxa"/>
            <w:vMerge w:val="continue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</w:pPr>
          </w:p>
        </w:tc>
        <w:tc>
          <w:tcPr>
            <w:tcW w:w="4551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60" w:lineRule="exact"/>
              <w:ind w:firstLine="0" w:firstLineChars="0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155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" w:hRule="atLeast"/>
        </w:trPr>
        <w:tc>
          <w:tcPr>
            <w:tcW w:w="973" w:type="dxa"/>
            <w:vMerge w:val="continue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749" w:type="dxa"/>
            <w:vMerge w:val="continue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</w:pPr>
          </w:p>
        </w:tc>
        <w:tc>
          <w:tcPr>
            <w:tcW w:w="4551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60" w:lineRule="exact"/>
              <w:ind w:firstLine="0" w:firstLineChars="0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155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73" w:type="dxa"/>
            <w:vMerge w:val="continue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749" w:type="dxa"/>
            <w:vMerge w:val="continue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</w:pPr>
          </w:p>
        </w:tc>
        <w:tc>
          <w:tcPr>
            <w:tcW w:w="4551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60" w:lineRule="exact"/>
              <w:ind w:firstLine="0" w:firstLineChars="0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155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</w:trPr>
        <w:tc>
          <w:tcPr>
            <w:tcW w:w="973" w:type="dxa"/>
            <w:vMerge w:val="continue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749" w:type="dxa"/>
            <w:vMerge w:val="continue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</w:pPr>
          </w:p>
        </w:tc>
        <w:tc>
          <w:tcPr>
            <w:tcW w:w="4551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60" w:lineRule="exact"/>
              <w:ind w:firstLine="0" w:firstLineChars="0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155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</w:trPr>
        <w:tc>
          <w:tcPr>
            <w:tcW w:w="973" w:type="dxa"/>
            <w:vMerge w:val="continue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749" w:type="dxa"/>
            <w:vMerge w:val="continue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jc w:val="center"/>
              <w:rPr>
                <w:rFonts w:hint="eastAsia" w:ascii="宋体" w:hAnsi="宋体" w:eastAsia="宋体" w:cs="宋体"/>
                <w:bCs/>
                <w:color w:val="auto"/>
                <w:sz w:val="24"/>
                <w:szCs w:val="24"/>
              </w:rPr>
            </w:pPr>
          </w:p>
        </w:tc>
        <w:tc>
          <w:tcPr>
            <w:tcW w:w="4551" w:type="dxa"/>
            <w:noWrap w:val="0"/>
            <w:tcMar>
              <w:left w:w="28" w:type="dxa"/>
              <w:right w:w="28" w:type="dxa"/>
            </w:tcMar>
            <w:vAlign w:val="center"/>
          </w:tcPr>
          <w:p>
            <w:pPr>
              <w:adjustRightInd w:val="0"/>
              <w:snapToGrid w:val="0"/>
              <w:spacing w:line="360" w:lineRule="exact"/>
              <w:ind w:firstLine="0" w:firstLineChars="0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  <w:tc>
          <w:tcPr>
            <w:tcW w:w="1155" w:type="dxa"/>
            <w:vMerge w:val="continue"/>
            <w:noWrap w:val="0"/>
            <w:vAlign w:val="center"/>
          </w:tcPr>
          <w:p>
            <w:pPr>
              <w:adjustRightInd w:val="0"/>
              <w:snapToGrid w:val="0"/>
              <w:spacing w:line="400" w:lineRule="exact"/>
              <w:ind w:firstLine="0" w:firstLineChars="0"/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</w:pPr>
          </w:p>
        </w:tc>
      </w:tr>
    </w:tbl>
    <w:p>
      <w:pPr>
        <w:ind w:firstLine="562"/>
        <w:rPr>
          <w:rFonts w:hint="eastAsia" w:ascii="宋体" w:hAnsi="宋体" w:eastAsia="宋体" w:cs="宋体"/>
          <w:b/>
          <w:color w:val="auto"/>
          <w:sz w:val="24"/>
          <w:szCs w:val="24"/>
        </w:rPr>
      </w:pPr>
    </w:p>
    <w:p>
      <w:pPr>
        <w:spacing w:line="400" w:lineRule="exact"/>
        <w:ind w:firstLine="562"/>
        <w:rPr>
          <w:rFonts w:hint="eastAsia" w:ascii="宋体" w:hAnsi="宋体" w:eastAsia="宋体" w:cs="宋体"/>
          <w:b/>
          <w:color w:val="auto"/>
          <w:sz w:val="24"/>
          <w:szCs w:val="24"/>
        </w:rPr>
      </w:pPr>
      <w:r>
        <w:rPr>
          <w:rFonts w:hint="eastAsia" w:ascii="宋体" w:hAnsi="宋体" w:eastAsia="宋体" w:cs="宋体"/>
          <w:b/>
          <w:color w:val="auto"/>
          <w:sz w:val="24"/>
          <w:szCs w:val="24"/>
        </w:rPr>
        <w:t>四、需考生自备的测试工具</w:t>
      </w:r>
    </w:p>
    <w:p>
      <w:pPr>
        <w:spacing w:line="400" w:lineRule="exact"/>
        <w:ind w:firstLine="562"/>
        <w:rPr>
          <w:rFonts w:hint="eastAsia" w:ascii="宋体" w:hAnsi="宋体" w:eastAsia="宋体" w:cs="宋体"/>
          <w:b/>
          <w:color w:val="auto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b/>
          <w:color w:val="auto"/>
          <w:sz w:val="24"/>
          <w:szCs w:val="24"/>
          <w:lang w:eastAsia="zh-CN"/>
        </w:rPr>
        <w:t>（</w:t>
      </w:r>
      <w:r>
        <w:rPr>
          <w:rFonts w:hint="eastAsia" w:ascii="宋体" w:hAnsi="宋体" w:eastAsia="宋体" w:cs="宋体"/>
          <w:b/>
          <w:color w:val="auto"/>
          <w:sz w:val="24"/>
          <w:szCs w:val="24"/>
          <w:lang w:val="en-US" w:eastAsia="zh-CN"/>
        </w:rPr>
        <w:t>考试是否自带工具，由各学院自定</w:t>
      </w:r>
      <w:r>
        <w:rPr>
          <w:rFonts w:hint="eastAsia" w:ascii="宋体" w:hAnsi="宋体" w:eastAsia="宋体" w:cs="宋体"/>
          <w:b/>
          <w:color w:val="auto"/>
          <w:sz w:val="24"/>
          <w:szCs w:val="24"/>
          <w:lang w:eastAsia="zh-CN"/>
        </w:rPr>
        <w:t>）</w:t>
      </w:r>
    </w:p>
    <w:p>
      <w:pPr>
        <w:spacing w:line="400" w:lineRule="exact"/>
        <w:ind w:firstLine="562"/>
        <w:rPr>
          <w:rFonts w:hint="eastAsia" w:ascii="宋体" w:hAnsi="宋体" w:eastAsia="宋体" w:cs="宋体"/>
          <w:b/>
          <w:color w:val="auto"/>
          <w:sz w:val="24"/>
          <w:szCs w:val="24"/>
          <w:lang w:eastAsia="zh-CN"/>
        </w:rPr>
      </w:pPr>
    </w:p>
    <w:p>
      <w:pPr>
        <w:spacing w:line="400" w:lineRule="exact"/>
        <w:ind w:firstLine="562"/>
        <w:rPr>
          <w:rFonts w:hint="eastAsia" w:ascii="宋体" w:hAnsi="宋体" w:eastAsia="宋体" w:cs="宋体"/>
          <w:b/>
          <w:color w:val="auto"/>
          <w:sz w:val="24"/>
          <w:szCs w:val="24"/>
        </w:rPr>
      </w:pPr>
      <w:r>
        <w:rPr>
          <w:rFonts w:hint="eastAsia" w:ascii="宋体" w:hAnsi="宋体" w:eastAsia="宋体" w:cs="宋体"/>
          <w:b/>
          <w:color w:val="auto"/>
          <w:sz w:val="24"/>
          <w:szCs w:val="24"/>
        </w:rPr>
        <w:t>五、参考资料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E1C3A1F"/>
    <w:rsid w:val="0E1C3A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ind w:firstLine="200" w:firstLineChars="200"/>
      <w:jc w:val="left"/>
    </w:pPr>
    <w:rPr>
      <w:rFonts w:ascii="宋体" w:hAnsi="宋体"/>
      <w:kern w:val="0"/>
      <w:sz w:val="24"/>
    </w:rPr>
  </w:style>
  <w:style w:type="paragraph" w:customStyle="1" w:styleId="5">
    <w:name w:val="标题一"/>
    <w:basedOn w:val="1"/>
    <w:qFormat/>
    <w:uiPriority w:val="0"/>
    <w:pPr>
      <w:spacing w:line="360" w:lineRule="exact"/>
      <w:jc w:val="center"/>
      <w:outlineLvl w:val="0"/>
    </w:pPr>
    <w:rPr>
      <w:rFonts w:ascii="宋体" w:hAnsi="宋体"/>
      <w:b/>
      <w:sz w:val="30"/>
      <w:szCs w:val="30"/>
    </w:rPr>
  </w:style>
  <w:style w:type="paragraph" w:customStyle="1" w:styleId="6">
    <w:name w:val="a正文"/>
    <w:basedOn w:val="1"/>
    <w:qFormat/>
    <w:uiPriority w:val="0"/>
    <w:pPr>
      <w:ind w:firstLine="560" w:firstLineChars="200"/>
    </w:pPr>
    <w:rPr>
      <w:rFonts w:ascii="宋体" w:hAnsi="宋体"/>
      <w:sz w:val="28"/>
      <w:szCs w:val="28"/>
    </w:rPr>
  </w:style>
  <w:style w:type="paragraph" w:customStyle="1" w:styleId="7">
    <w:name w:val="标题二"/>
    <w:basedOn w:val="8"/>
    <w:qFormat/>
    <w:uiPriority w:val="0"/>
    <w:pPr>
      <w:ind w:firstLine="200" w:firstLineChars="200"/>
      <w:outlineLvl w:val="1"/>
    </w:pPr>
    <w:rPr>
      <w:rFonts w:ascii="宋体" w:hAnsi="宋体"/>
      <w:b w:val="0"/>
      <w:sz w:val="30"/>
      <w:szCs w:val="30"/>
    </w:rPr>
  </w:style>
  <w:style w:type="paragraph" w:customStyle="1" w:styleId="8">
    <w:name w:val="a一级标题"/>
    <w:basedOn w:val="1"/>
    <w:qFormat/>
    <w:uiPriority w:val="0"/>
    <w:pPr>
      <w:outlineLvl w:val="1"/>
    </w:pPr>
    <w:rPr>
      <w:rFonts w:ascii="宋体" w:hAnsi="宋体"/>
      <w:b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2022-01-12T01:30:00Z</dcterms:created>
  <dc:creator>Merry</dc:creator>
  <cp:lastModifiedBy>Merry</cp:lastModifiedBy>
  <dcterms:modified xsi:type="dcterms:W3CDTF">2022-01-12T01:30:46Z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EC9D6F7E9D7E47A883C42E6C8E58F6FA</vt:lpwstr>
  </property>
</Properties>
</file>