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800" w:lineRule="exact"/>
        <w:jc w:val="center"/>
        <w:rPr>
          <w:rFonts w:ascii="方正小标宋简体" w:eastAsia="方正小标宋简体"/>
          <w:b w:val="0"/>
          <w:sz w:val="48"/>
          <w:szCs w:val="48"/>
        </w:rPr>
      </w:pPr>
    </w:p>
    <w:p>
      <w:pPr>
        <w:pStyle w:val="2"/>
        <w:spacing w:before="0" w:after="0" w:line="800" w:lineRule="exact"/>
        <w:jc w:val="center"/>
        <w:rPr>
          <w:rFonts w:ascii="方正小标宋简体" w:eastAsia="方正小标宋简体"/>
          <w:b w:val="0"/>
          <w:sz w:val="48"/>
          <w:szCs w:val="48"/>
        </w:rPr>
      </w:pPr>
    </w:p>
    <w:p>
      <w:pPr>
        <w:pStyle w:val="2"/>
        <w:spacing w:before="0" w:after="0" w:line="800" w:lineRule="exact"/>
        <w:jc w:val="center"/>
        <w:rPr>
          <w:rFonts w:ascii="方正小标宋简体" w:eastAsia="方正小标宋简体"/>
          <w:b w:val="0"/>
          <w:sz w:val="48"/>
          <w:szCs w:val="48"/>
        </w:rPr>
      </w:pPr>
      <w:r>
        <w:rPr>
          <w:rFonts w:hint="eastAsia" w:ascii="方正小标宋简体" w:eastAsia="方正小标宋简体"/>
          <w:b w:val="0"/>
          <w:sz w:val="48"/>
          <w:szCs w:val="48"/>
        </w:rPr>
        <w:t>第</w:t>
      </w:r>
      <w:r>
        <w:rPr>
          <w:rFonts w:hint="eastAsia" w:ascii="方正小标宋简体" w:eastAsia="方正小标宋简体"/>
          <w:b w:val="0"/>
          <w:sz w:val="48"/>
          <w:szCs w:val="48"/>
          <w:lang w:val="en-US" w:eastAsia="zh-CN"/>
        </w:rPr>
        <w:t>四</w:t>
      </w:r>
      <w:r>
        <w:rPr>
          <w:rFonts w:hint="eastAsia" w:ascii="方正小标宋简体" w:eastAsia="方正小标宋简体"/>
          <w:b w:val="0"/>
          <w:sz w:val="48"/>
          <w:szCs w:val="48"/>
        </w:rPr>
        <w:t>批1+X证书制度试点工作方案</w:t>
      </w:r>
    </w:p>
    <w:p/>
    <w:p/>
    <w:p/>
    <w:p/>
    <w:p/>
    <w:p/>
    <w:p/>
    <w:p/>
    <w:p/>
    <w:p/>
    <w:p/>
    <w:p/>
    <w:p/>
    <w:p>
      <w:pPr>
        <w:spacing w:line="360" w:lineRule="auto"/>
        <w:ind w:left="840" w:leftChars="400"/>
        <w:rPr>
          <w:rFonts w:ascii="Times New Roman" w:hAnsi="Times New Roman" w:eastAsia="黑体" w:cs="Times New Roman"/>
          <w:sz w:val="28"/>
        </w:rPr>
      </w:pPr>
    </w:p>
    <w:tbl>
      <w:tblPr>
        <w:tblStyle w:val="9"/>
        <w:tblW w:w="7818" w:type="dxa"/>
        <w:tblInd w:w="101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119"/>
        <w:gridCol w:w="46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19" w:type="dxa"/>
          </w:tcPr>
          <w:p>
            <w:pPr>
              <w:spacing w:line="360" w:lineRule="auto"/>
              <w:jc w:val="left"/>
              <w:rPr>
                <w:rFonts w:ascii="Times New Roman" w:hAnsi="Times New Roman" w:eastAsia="黑体" w:cs="Times New Roman"/>
                <w:kern w:val="0"/>
                <w:sz w:val="28"/>
                <w:szCs w:val="20"/>
              </w:rPr>
            </w:pPr>
            <w:r>
              <w:rPr>
                <w:rFonts w:hint="eastAsia" w:ascii="Times New Roman" w:hAnsi="Times New Roman" w:eastAsia="方正仿宋简体" w:cs="Times New Roman"/>
                <w:kern w:val="0"/>
                <w:sz w:val="32"/>
                <w:szCs w:val="32"/>
              </w:rPr>
              <w:t>系院名称（盖章）</w:t>
            </w:r>
            <w:r>
              <w:rPr>
                <w:rFonts w:ascii="Times New Roman" w:hAnsi="Times New Roman" w:eastAsia="方正仿宋简体" w:cs="Times New Roman"/>
                <w:kern w:val="0"/>
                <w:sz w:val="32"/>
                <w:szCs w:val="32"/>
              </w:rPr>
              <w:t>：</w:t>
            </w:r>
          </w:p>
        </w:tc>
        <w:tc>
          <w:tcPr>
            <w:tcW w:w="4699" w:type="dxa"/>
          </w:tcPr>
          <w:p>
            <w:pPr>
              <w:spacing w:line="360" w:lineRule="auto"/>
              <w:jc w:val="left"/>
              <w:rPr>
                <w:rFonts w:ascii="Times New Roman" w:hAnsi="Times New Roman" w:eastAsia="黑体" w:cs="Times New Roman"/>
                <w:kern w:val="0"/>
                <w:sz w:val="28"/>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19" w:type="dxa"/>
          </w:tcPr>
          <w:p>
            <w:pPr>
              <w:spacing w:line="360" w:lineRule="auto"/>
              <w:jc w:val="left"/>
              <w:rPr>
                <w:rFonts w:ascii="Times New Roman" w:hAnsi="Times New Roman" w:eastAsia="黑体" w:cs="Times New Roman"/>
                <w:kern w:val="0"/>
                <w:sz w:val="28"/>
                <w:szCs w:val="20"/>
              </w:rPr>
            </w:pPr>
            <w:r>
              <w:rPr>
                <w:rFonts w:hint="eastAsia" w:ascii="Times New Roman" w:hAnsi="Times New Roman" w:eastAsia="方正仿宋简体" w:cs="Times New Roman"/>
                <w:kern w:val="0"/>
                <w:sz w:val="32"/>
                <w:szCs w:val="32"/>
              </w:rPr>
              <w:t>系院分管负责人：</w:t>
            </w:r>
          </w:p>
        </w:tc>
        <w:tc>
          <w:tcPr>
            <w:tcW w:w="4699" w:type="dxa"/>
          </w:tcPr>
          <w:p>
            <w:pPr>
              <w:spacing w:line="360" w:lineRule="auto"/>
              <w:jc w:val="left"/>
              <w:rPr>
                <w:rFonts w:ascii="Times New Roman" w:hAnsi="Times New Roman" w:eastAsia="黑体" w:cs="Times New Roman"/>
                <w:kern w:val="0"/>
                <w:sz w:val="28"/>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19" w:type="dxa"/>
          </w:tcPr>
          <w:p>
            <w:pPr>
              <w:spacing w:line="360" w:lineRule="auto"/>
              <w:jc w:val="left"/>
              <w:rPr>
                <w:rFonts w:ascii="Times New Roman" w:hAnsi="Times New Roman" w:eastAsia="黑体" w:cs="Times New Roman"/>
                <w:kern w:val="0"/>
                <w:sz w:val="28"/>
                <w:szCs w:val="20"/>
              </w:rPr>
            </w:pPr>
            <w:r>
              <w:rPr>
                <w:rFonts w:hint="eastAsia" w:ascii="Times New Roman" w:hAnsi="Times New Roman" w:eastAsia="方正仿宋简体" w:cs="Times New Roman"/>
                <w:kern w:val="0"/>
                <w:sz w:val="32"/>
                <w:szCs w:val="32"/>
              </w:rPr>
              <w:t>系院联系人：</w:t>
            </w:r>
          </w:p>
        </w:tc>
        <w:tc>
          <w:tcPr>
            <w:tcW w:w="4699" w:type="dxa"/>
          </w:tcPr>
          <w:p>
            <w:pPr>
              <w:spacing w:line="360" w:lineRule="auto"/>
              <w:jc w:val="left"/>
              <w:rPr>
                <w:rFonts w:ascii="Times New Roman" w:hAnsi="Times New Roman" w:eastAsia="黑体" w:cs="Times New Roman"/>
                <w:kern w:val="0"/>
                <w:sz w:val="28"/>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19" w:type="dxa"/>
          </w:tcPr>
          <w:p>
            <w:pPr>
              <w:spacing w:line="360" w:lineRule="auto"/>
              <w:jc w:val="left"/>
              <w:rPr>
                <w:rFonts w:ascii="Times New Roman" w:hAnsi="Times New Roman" w:eastAsia="黑体" w:cs="Times New Roman"/>
                <w:kern w:val="0"/>
                <w:sz w:val="28"/>
                <w:szCs w:val="20"/>
              </w:rPr>
            </w:pPr>
            <w:r>
              <w:rPr>
                <w:rFonts w:hint="eastAsia" w:ascii="Times New Roman" w:hAnsi="Times New Roman" w:eastAsia="方正仿宋简体" w:cs="Times New Roman"/>
                <w:kern w:val="0"/>
                <w:sz w:val="32"/>
                <w:szCs w:val="32"/>
              </w:rPr>
              <w:t>联系电话：</w:t>
            </w:r>
          </w:p>
        </w:tc>
        <w:tc>
          <w:tcPr>
            <w:tcW w:w="4699" w:type="dxa"/>
          </w:tcPr>
          <w:p>
            <w:pPr>
              <w:spacing w:line="360" w:lineRule="auto"/>
              <w:jc w:val="left"/>
              <w:rPr>
                <w:rFonts w:ascii="Times New Roman" w:hAnsi="Times New Roman" w:eastAsia="黑体" w:cs="Times New Roman"/>
                <w:kern w:val="0"/>
                <w:sz w:val="28"/>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19" w:type="dxa"/>
          </w:tcPr>
          <w:p>
            <w:pPr>
              <w:spacing w:line="360" w:lineRule="auto"/>
              <w:jc w:val="left"/>
              <w:rPr>
                <w:rFonts w:ascii="Times New Roman" w:hAnsi="Times New Roman" w:eastAsia="方正仿宋简体" w:cs="Times New Roman"/>
                <w:kern w:val="0"/>
                <w:sz w:val="32"/>
                <w:szCs w:val="32"/>
              </w:rPr>
            </w:pPr>
            <w:r>
              <w:rPr>
                <w:rFonts w:hint="eastAsia" w:ascii="Times New Roman" w:hAnsi="Times New Roman" w:eastAsia="方正仿宋简体" w:cs="Times New Roman"/>
                <w:kern w:val="0"/>
                <w:sz w:val="32"/>
                <w:szCs w:val="32"/>
              </w:rPr>
              <w:t>电子邮箱：</w:t>
            </w:r>
          </w:p>
        </w:tc>
        <w:tc>
          <w:tcPr>
            <w:tcW w:w="4699" w:type="dxa"/>
          </w:tcPr>
          <w:p>
            <w:pPr>
              <w:spacing w:line="360" w:lineRule="auto"/>
              <w:jc w:val="left"/>
              <w:rPr>
                <w:rFonts w:ascii="Times New Roman" w:hAnsi="Times New Roman" w:eastAsia="黑体" w:cs="Times New Roman"/>
                <w:kern w:val="0"/>
                <w:sz w:val="28"/>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818" w:type="dxa"/>
            <w:gridSpan w:val="2"/>
          </w:tcPr>
          <w:p>
            <w:pPr>
              <w:spacing w:line="360" w:lineRule="auto"/>
              <w:rPr>
                <w:rFonts w:ascii="Times New Roman" w:hAnsi="Times New Roman" w:eastAsia="黑体" w:cs="Times New Roman"/>
                <w:kern w:val="0"/>
                <w:sz w:val="28"/>
                <w:szCs w:val="20"/>
              </w:rPr>
            </w:pPr>
            <w:r>
              <w:rPr>
                <w:rFonts w:hint="eastAsia" w:ascii="Times New Roman" w:hAnsi="Times New Roman" w:eastAsia="方正仿宋简体" w:cs="Times New Roman"/>
                <w:kern w:val="0"/>
                <w:sz w:val="32"/>
                <w:szCs w:val="32"/>
              </w:rPr>
              <w:t xml:space="preserve">职业技能等级证书： </w:t>
            </w:r>
          </w:p>
        </w:tc>
      </w:tr>
    </w:tbl>
    <w:p>
      <w:pPr>
        <w:rPr>
          <w:b/>
          <w:sz w:val="32"/>
          <w:szCs w:val="32"/>
        </w:rPr>
      </w:pPr>
    </w:p>
    <w:p>
      <w:pPr>
        <w:rPr>
          <w:b/>
          <w:sz w:val="32"/>
          <w:szCs w:val="32"/>
        </w:rPr>
      </w:pPr>
    </w:p>
    <w:p>
      <w:pPr>
        <w:spacing w:line="360" w:lineRule="auto"/>
        <w:ind w:firstLine="643" w:firstLineChars="200"/>
        <w:rPr>
          <w:rFonts w:hint="eastAsia" w:ascii="仿宋_GB2312" w:hAnsi="Times New Roman" w:eastAsia="仿宋_GB2312" w:cs="Times New Roman"/>
          <w:b/>
          <w:bCs/>
          <w:sz w:val="32"/>
          <w:szCs w:val="32"/>
        </w:rPr>
      </w:pPr>
    </w:p>
    <w:p>
      <w:pPr>
        <w:spacing w:line="360" w:lineRule="auto"/>
        <w:ind w:firstLine="643" w:firstLineChars="200"/>
        <w:rPr>
          <w:rFonts w:hint="eastAsia" w:ascii="仿宋_GB2312" w:hAnsi="Times New Roman" w:eastAsia="仿宋_GB2312" w:cs="Times New Roman"/>
          <w:b/>
          <w:bCs/>
          <w:sz w:val="32"/>
          <w:szCs w:val="32"/>
        </w:rPr>
      </w:pPr>
    </w:p>
    <w:p>
      <w:pPr>
        <w:spacing w:line="360" w:lineRule="auto"/>
        <w:ind w:firstLine="643" w:firstLineChars="200"/>
        <w:rPr>
          <w:rFonts w:hint="eastAsia" w:ascii="仿宋_GB2312" w:hAnsi="Times New Roman" w:eastAsia="仿宋_GB2312" w:cs="Times New Roman"/>
          <w:b/>
          <w:bCs/>
          <w:sz w:val="32"/>
          <w:szCs w:val="32"/>
        </w:rPr>
      </w:pPr>
    </w:p>
    <w:p>
      <w:pPr>
        <w:spacing w:line="360" w:lineRule="auto"/>
        <w:ind w:firstLine="643" w:firstLineChars="200"/>
        <w:rPr>
          <w:rFonts w:hint="eastAsia"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申报内容：</w:t>
      </w:r>
    </w:p>
    <w:p>
      <w:pPr>
        <w:spacing w:line="360" w:lineRule="auto"/>
        <w:ind w:firstLine="643" w:firstLineChars="200"/>
        <w:rPr>
          <w:rFonts w:hint="eastAsia"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一、试点证书（包括级别）：</w:t>
      </w:r>
    </w:p>
    <w:p>
      <w:pPr>
        <w:spacing w:line="300" w:lineRule="auto"/>
        <w:ind w:firstLine="480" w:firstLineChars="200"/>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1.</w:t>
      </w: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工程造价数字化应用职业技能等级证书（初级）</w:t>
      </w:r>
    </w:p>
    <w:p>
      <w:pPr>
        <w:spacing w:line="300" w:lineRule="auto"/>
        <w:ind w:firstLine="480" w:firstLineChars="200"/>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2</w:t>
      </w:r>
      <w:r>
        <w:rPr>
          <w:rFonts w:hint="eastAsia" w:cs="宋体" w:asciiTheme="majorEastAsia" w:hAnsiTheme="majorEastAsia" w:eastAsiaTheme="majorEastAsia"/>
          <w:color w:val="000000" w:themeColor="text1"/>
          <w:sz w:val="24"/>
          <w:szCs w:val="24"/>
          <w14:textFill>
            <w14:solidFill>
              <w14:schemeClr w14:val="tx1"/>
            </w14:solidFill>
          </w14:textFill>
        </w:rPr>
        <w:t>.</w:t>
      </w: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工程造价数字化应用职业技能等级证书（中级）</w:t>
      </w:r>
    </w:p>
    <w:p>
      <w:pPr>
        <w:spacing w:line="300" w:lineRule="auto"/>
        <w:ind w:firstLine="480" w:firstLineChars="200"/>
        <w:rPr>
          <w:rFonts w:hint="default" w:cs="宋体" w:asciiTheme="majorEastAsia" w:hAnsiTheme="majorEastAsia" w:eastAsiaTheme="majorEastAsia"/>
          <w:color w:val="000000" w:themeColor="text1"/>
          <w:sz w:val="24"/>
          <w:szCs w:val="24"/>
          <w:lang w:val="en-US" w:eastAsia="zh-CN"/>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3</w:t>
      </w:r>
      <w:r>
        <w:rPr>
          <w:rFonts w:hint="eastAsia" w:cs="宋体" w:asciiTheme="majorEastAsia" w:hAnsiTheme="majorEastAsia" w:eastAsiaTheme="majorEastAsia"/>
          <w:color w:val="000000" w:themeColor="text1"/>
          <w:sz w:val="24"/>
          <w:szCs w:val="24"/>
          <w14:textFill>
            <w14:solidFill>
              <w14:schemeClr w14:val="tx1"/>
            </w14:solidFill>
          </w14:textFill>
        </w:rPr>
        <w:t>.</w:t>
      </w: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工程造价数字化应用职业技能等级证书（高级）</w:t>
      </w:r>
    </w:p>
    <w:p>
      <w:pPr>
        <w:spacing w:line="300" w:lineRule="auto"/>
        <w:rPr>
          <w:rFonts w:hint="default" w:cs="宋体" w:asciiTheme="majorEastAsia" w:hAnsiTheme="majorEastAsia" w:eastAsiaTheme="majorEastAsia"/>
          <w:color w:val="000000" w:themeColor="text1"/>
          <w:sz w:val="24"/>
          <w:szCs w:val="24"/>
          <w:lang w:val="en-US" w:eastAsia="zh-CN"/>
          <w14:textFill>
            <w14:solidFill>
              <w14:schemeClr w14:val="tx1"/>
            </w14:solidFill>
          </w14:textFill>
        </w:rPr>
      </w:pPr>
    </w:p>
    <w:p>
      <w:pPr>
        <w:spacing w:line="360" w:lineRule="auto"/>
        <w:ind w:firstLine="643" w:firstLineChars="200"/>
        <w:rPr>
          <w:rFonts w:hint="eastAsia"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二、申报证书试点专业（可多项）：</w:t>
      </w:r>
    </w:p>
    <w:tbl>
      <w:tblPr>
        <w:tblStyle w:val="9"/>
        <w:tblW w:w="82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4"/>
        <w:gridCol w:w="2595"/>
        <w:gridCol w:w="2280"/>
        <w:gridCol w:w="1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614" w:type="dxa"/>
            <w:vAlign w:val="center"/>
          </w:tcPr>
          <w:p>
            <w:pPr>
              <w:spacing w:line="360" w:lineRule="auto"/>
              <w:rPr>
                <w:rFonts w:hint="eastAsia" w:ascii="仿宋_GB2312" w:hAnsi="Times New Roman" w:eastAsia="仿宋_GB2312" w:cs="Times New Roman"/>
                <w:b/>
                <w:bCs/>
                <w:sz w:val="24"/>
              </w:rPr>
            </w:pPr>
            <w:r>
              <w:rPr>
                <w:rFonts w:hint="eastAsia" w:ascii="仿宋_GB2312" w:hAnsi="Times New Roman" w:eastAsia="仿宋_GB2312" w:cs="Times New Roman"/>
                <w:b/>
                <w:bCs/>
                <w:sz w:val="24"/>
              </w:rPr>
              <w:t>专业名称</w:t>
            </w:r>
          </w:p>
        </w:tc>
        <w:tc>
          <w:tcPr>
            <w:tcW w:w="2595" w:type="dxa"/>
            <w:vAlign w:val="center"/>
          </w:tcPr>
          <w:p>
            <w:pPr>
              <w:spacing w:line="360" w:lineRule="auto"/>
              <w:rPr>
                <w:rFonts w:hint="eastAsia" w:ascii="仿宋_GB2312" w:hAnsi="Times New Roman" w:eastAsia="仿宋_GB2312" w:cs="Times New Roman"/>
                <w:b/>
                <w:bCs/>
                <w:sz w:val="24"/>
              </w:rPr>
            </w:pPr>
            <w:r>
              <w:rPr>
                <w:rFonts w:hint="eastAsia" w:ascii="仿宋_GB2312" w:hAnsi="Times New Roman" w:eastAsia="仿宋_GB2312" w:cs="Times New Roman"/>
                <w:b/>
                <w:bCs/>
                <w:sz w:val="24"/>
              </w:rPr>
              <w:t>本专业在校学生数</w:t>
            </w:r>
          </w:p>
        </w:tc>
        <w:tc>
          <w:tcPr>
            <w:tcW w:w="2280" w:type="dxa"/>
            <w:vAlign w:val="center"/>
          </w:tcPr>
          <w:p>
            <w:pPr>
              <w:spacing w:line="360" w:lineRule="auto"/>
              <w:rPr>
                <w:rFonts w:hint="eastAsia" w:ascii="仿宋_GB2312" w:hAnsi="Times New Roman" w:eastAsia="仿宋_GB2312" w:cs="Times New Roman"/>
                <w:b/>
                <w:bCs/>
                <w:sz w:val="24"/>
              </w:rPr>
            </w:pPr>
            <w:r>
              <w:rPr>
                <w:rFonts w:hint="eastAsia" w:ascii="仿宋_GB2312" w:hAnsi="Times New Roman" w:eastAsia="仿宋_GB2312" w:cs="Times New Roman"/>
                <w:b/>
                <w:bCs/>
                <w:sz w:val="24"/>
              </w:rPr>
              <w:t>本专业专任教师数</w:t>
            </w:r>
          </w:p>
        </w:tc>
        <w:tc>
          <w:tcPr>
            <w:tcW w:w="1745" w:type="dxa"/>
            <w:vAlign w:val="center"/>
          </w:tcPr>
          <w:p>
            <w:pPr>
              <w:spacing w:line="360" w:lineRule="auto"/>
              <w:rPr>
                <w:rFonts w:hint="eastAsia" w:ascii="仿宋_GB2312" w:hAnsi="Times New Roman" w:eastAsia="仿宋_GB2312" w:cs="Times New Roman"/>
                <w:b/>
                <w:bCs/>
                <w:sz w:val="24"/>
              </w:rPr>
            </w:pPr>
            <w:r>
              <w:rPr>
                <w:rFonts w:hint="eastAsia" w:ascii="仿宋_GB2312" w:hAnsi="Times New Roman" w:eastAsia="仿宋_GB2312" w:cs="Times New Roman"/>
                <w:b/>
                <w:bCs/>
                <w:sz w:val="24"/>
              </w:rPr>
              <w:t>申请培训书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614" w:type="dxa"/>
            <w:vAlign w:val="center"/>
          </w:tcPr>
          <w:p>
            <w:pPr>
              <w:jc w:val="center"/>
              <w:rPr>
                <w:rFonts w:ascii="Times New Roman" w:hAnsi="Times New Roman" w:eastAsia="宋体" w:cs="Times New Roman"/>
                <w:kern w:val="0"/>
                <w:sz w:val="24"/>
                <w:szCs w:val="24"/>
              </w:rPr>
            </w:pPr>
          </w:p>
        </w:tc>
        <w:tc>
          <w:tcPr>
            <w:tcW w:w="2595" w:type="dxa"/>
            <w:vAlign w:val="center"/>
          </w:tcPr>
          <w:p>
            <w:pPr>
              <w:jc w:val="center"/>
              <w:rPr>
                <w:rFonts w:ascii="Times New Roman" w:hAnsi="Times New Roman" w:eastAsia="宋体" w:cs="Times New Roman"/>
                <w:kern w:val="0"/>
                <w:sz w:val="24"/>
                <w:szCs w:val="24"/>
              </w:rPr>
            </w:pPr>
          </w:p>
        </w:tc>
        <w:tc>
          <w:tcPr>
            <w:tcW w:w="2280" w:type="dxa"/>
            <w:vAlign w:val="center"/>
          </w:tcPr>
          <w:p>
            <w:pPr>
              <w:jc w:val="center"/>
              <w:rPr>
                <w:rFonts w:ascii="Times New Roman" w:hAnsi="Times New Roman" w:eastAsia="宋体" w:cs="Times New Roman"/>
                <w:kern w:val="0"/>
                <w:sz w:val="24"/>
                <w:szCs w:val="24"/>
              </w:rPr>
            </w:pPr>
          </w:p>
        </w:tc>
        <w:tc>
          <w:tcPr>
            <w:tcW w:w="1745" w:type="dxa"/>
            <w:vAlign w:val="center"/>
          </w:tcPr>
          <w:p>
            <w:pPr>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614" w:type="dxa"/>
            <w:vAlign w:val="center"/>
          </w:tcPr>
          <w:p>
            <w:pPr>
              <w:jc w:val="center"/>
              <w:rPr>
                <w:rFonts w:ascii="Times New Roman" w:hAnsi="Times New Roman" w:eastAsia="宋体" w:cs="Times New Roman"/>
                <w:kern w:val="0"/>
                <w:sz w:val="24"/>
                <w:szCs w:val="24"/>
              </w:rPr>
            </w:pPr>
          </w:p>
        </w:tc>
        <w:tc>
          <w:tcPr>
            <w:tcW w:w="2595" w:type="dxa"/>
            <w:vAlign w:val="center"/>
          </w:tcPr>
          <w:p>
            <w:pPr>
              <w:jc w:val="center"/>
              <w:rPr>
                <w:rFonts w:ascii="Times New Roman" w:hAnsi="Times New Roman" w:eastAsia="宋体" w:cs="Times New Roman"/>
                <w:kern w:val="0"/>
                <w:sz w:val="24"/>
                <w:szCs w:val="24"/>
              </w:rPr>
            </w:pPr>
          </w:p>
        </w:tc>
        <w:tc>
          <w:tcPr>
            <w:tcW w:w="2280" w:type="dxa"/>
            <w:vAlign w:val="center"/>
          </w:tcPr>
          <w:p>
            <w:pPr>
              <w:jc w:val="center"/>
              <w:rPr>
                <w:rFonts w:ascii="Times New Roman" w:hAnsi="Times New Roman" w:eastAsia="宋体" w:cs="Times New Roman"/>
                <w:kern w:val="0"/>
                <w:sz w:val="24"/>
                <w:szCs w:val="24"/>
              </w:rPr>
            </w:pPr>
          </w:p>
        </w:tc>
        <w:tc>
          <w:tcPr>
            <w:tcW w:w="1745" w:type="dxa"/>
            <w:vAlign w:val="center"/>
          </w:tcPr>
          <w:p>
            <w:pPr>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614" w:type="dxa"/>
            <w:vAlign w:val="center"/>
          </w:tcPr>
          <w:p>
            <w:pPr>
              <w:jc w:val="center"/>
              <w:rPr>
                <w:rFonts w:ascii="Times New Roman" w:hAnsi="Times New Roman" w:eastAsia="宋体" w:cs="Times New Roman"/>
                <w:kern w:val="0"/>
                <w:sz w:val="24"/>
                <w:szCs w:val="24"/>
              </w:rPr>
            </w:pPr>
          </w:p>
        </w:tc>
        <w:tc>
          <w:tcPr>
            <w:tcW w:w="2595" w:type="dxa"/>
            <w:vAlign w:val="center"/>
          </w:tcPr>
          <w:p>
            <w:pPr>
              <w:jc w:val="center"/>
              <w:rPr>
                <w:rFonts w:ascii="Times New Roman" w:hAnsi="Times New Roman" w:eastAsia="宋体" w:cs="Times New Roman"/>
                <w:kern w:val="0"/>
                <w:sz w:val="24"/>
                <w:szCs w:val="24"/>
              </w:rPr>
            </w:pPr>
          </w:p>
        </w:tc>
        <w:tc>
          <w:tcPr>
            <w:tcW w:w="2280" w:type="dxa"/>
            <w:vAlign w:val="center"/>
          </w:tcPr>
          <w:p>
            <w:pPr>
              <w:jc w:val="center"/>
              <w:rPr>
                <w:rFonts w:ascii="Times New Roman" w:hAnsi="Times New Roman" w:eastAsia="宋体" w:cs="Times New Roman"/>
                <w:kern w:val="0"/>
                <w:sz w:val="24"/>
                <w:szCs w:val="24"/>
              </w:rPr>
            </w:pPr>
          </w:p>
        </w:tc>
        <w:tc>
          <w:tcPr>
            <w:tcW w:w="1745" w:type="dxa"/>
            <w:vAlign w:val="center"/>
          </w:tcPr>
          <w:p>
            <w:pPr>
              <w:jc w:val="center"/>
              <w:rPr>
                <w:rFonts w:ascii="Times New Roman" w:hAnsi="Times New Roman" w:eastAsia="宋体" w:cs="Times New Roman"/>
                <w:kern w:val="0"/>
                <w:sz w:val="24"/>
                <w:szCs w:val="24"/>
              </w:rPr>
            </w:pPr>
          </w:p>
        </w:tc>
      </w:tr>
    </w:tbl>
    <w:p>
      <w:pPr>
        <w:spacing w:line="360" w:lineRule="auto"/>
        <w:ind w:firstLine="643" w:firstLineChars="200"/>
        <w:rPr>
          <w:rFonts w:hint="eastAsia"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三、师资情况描述：</w:t>
      </w:r>
    </w:p>
    <w:p>
      <w:pPr>
        <w:spacing w:line="360" w:lineRule="auto"/>
        <w:ind w:firstLine="643" w:firstLineChars="200"/>
        <w:rPr>
          <w:rFonts w:hint="eastAsia"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四、</w:t>
      </w:r>
      <w:r>
        <w:rPr>
          <w:rFonts w:hint="eastAsia" w:ascii="仿宋_GB2312" w:hAnsi="Times New Roman" w:eastAsia="仿宋_GB2312" w:cs="Times New Roman"/>
          <w:b/>
          <w:bCs/>
          <w:sz w:val="32"/>
          <w:szCs w:val="32"/>
          <w:lang w:val="en-US" w:eastAsia="zh-CN"/>
        </w:rPr>
        <w:t>实训</w:t>
      </w:r>
      <w:r>
        <w:rPr>
          <w:rFonts w:hint="eastAsia" w:ascii="仿宋_GB2312" w:hAnsi="Times New Roman" w:eastAsia="仿宋_GB2312" w:cs="Times New Roman"/>
          <w:b/>
          <w:bCs/>
          <w:sz w:val="32"/>
          <w:szCs w:val="32"/>
        </w:rPr>
        <w:t>场地情况描述：</w:t>
      </w:r>
    </w:p>
    <w:p>
      <w:pPr>
        <w:spacing w:line="360" w:lineRule="auto"/>
        <w:ind w:firstLine="643" w:firstLineChars="200"/>
        <w:rPr>
          <w:rFonts w:hint="eastAsia"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五、其他佐证材料</w:t>
      </w:r>
    </w:p>
    <w:p>
      <w:pPr>
        <w:spacing w:line="360" w:lineRule="auto"/>
        <w:ind w:firstLine="482" w:firstLineChars="200"/>
        <w:rPr>
          <w:rFonts w:hint="eastAsia" w:ascii="仿宋_GB2312" w:hAnsi="Times New Roman" w:eastAsia="仿宋_GB2312" w:cs="Times New Roman"/>
          <w:b/>
          <w:bCs/>
          <w:sz w:val="24"/>
        </w:rPr>
      </w:pPr>
      <w:r>
        <w:rPr>
          <w:rFonts w:hint="eastAsia" w:ascii="仿宋_GB2312" w:hAnsi="Times New Roman" w:eastAsia="仿宋_GB2312" w:cs="Times New Roman"/>
          <w:b/>
          <w:bCs/>
          <w:sz w:val="24"/>
        </w:rPr>
        <w:t>1.专业基础</w:t>
      </w:r>
    </w:p>
    <w:p>
      <w:pPr>
        <w:spacing w:line="360" w:lineRule="auto"/>
        <w:ind w:firstLine="482" w:firstLineChars="200"/>
        <w:rPr>
          <w:rFonts w:hint="eastAsia" w:ascii="仿宋_GB2312" w:hAnsi="Times New Roman" w:eastAsia="仿宋_GB2312" w:cs="Times New Roman"/>
          <w:b/>
          <w:bCs/>
          <w:sz w:val="24"/>
        </w:rPr>
      </w:pPr>
      <w:r>
        <w:rPr>
          <w:rFonts w:hint="eastAsia" w:ascii="仿宋_GB2312" w:hAnsi="Times New Roman" w:eastAsia="仿宋_GB2312" w:cs="Times New Roman"/>
          <w:b/>
          <w:bCs/>
          <w:sz w:val="24"/>
        </w:rPr>
        <w:t>2.试点目标及措施</w:t>
      </w:r>
    </w:p>
    <w:p>
      <w:pPr>
        <w:spacing w:line="360" w:lineRule="auto"/>
        <w:ind w:firstLine="482" w:firstLineChars="200"/>
        <w:rPr>
          <w:rFonts w:ascii="仿宋_GB2312" w:hAnsi="Times New Roman" w:eastAsia="仿宋_GB2312" w:cs="Times New Roman"/>
          <w:b/>
          <w:bCs/>
          <w:sz w:val="24"/>
        </w:rPr>
      </w:pPr>
      <w:r>
        <w:rPr>
          <w:rFonts w:hint="eastAsia" w:ascii="仿宋_GB2312" w:hAnsi="Times New Roman" w:eastAsia="仿宋_GB2312" w:cs="Times New Roman"/>
          <w:b/>
          <w:bCs/>
          <w:sz w:val="24"/>
        </w:rPr>
        <w:t>（1）1+X证书制度试点目标</w:t>
      </w:r>
    </w:p>
    <w:p>
      <w:pPr>
        <w:spacing w:line="360" w:lineRule="auto"/>
        <w:ind w:firstLine="482" w:firstLineChars="200"/>
        <w:rPr>
          <w:rFonts w:ascii="仿宋_GB2312" w:hAnsi="Times New Roman" w:eastAsia="仿宋_GB2312" w:cs="Times New Roman"/>
          <w:b/>
          <w:bCs/>
          <w:sz w:val="24"/>
        </w:rPr>
      </w:pPr>
      <w:r>
        <w:rPr>
          <w:rFonts w:hint="eastAsia" w:ascii="仿宋_GB2312" w:hAnsi="Times New Roman" w:eastAsia="仿宋_GB2312" w:cs="Times New Roman"/>
          <w:b/>
          <w:bCs/>
          <w:sz w:val="24"/>
        </w:rPr>
        <w:t>（2）拟参与试点人数</w:t>
      </w:r>
    </w:p>
    <w:tbl>
      <w:tblPr>
        <w:tblStyle w:val="9"/>
        <w:tblW w:w="6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4"/>
        <w:gridCol w:w="3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3114" w:type="dxa"/>
            <w:vAlign w:val="center"/>
          </w:tcPr>
          <w:p>
            <w:pPr>
              <w:spacing w:line="360" w:lineRule="auto"/>
              <w:ind w:firstLine="422" w:firstLineChars="200"/>
              <w:jc w:val="center"/>
              <w:rPr>
                <w:rFonts w:ascii="仿宋_GB2312" w:hAnsi="Times New Roman" w:eastAsia="仿宋_GB2312" w:cs="Times New Roman"/>
                <w:b/>
                <w:bCs/>
                <w:kern w:val="0"/>
                <w:sz w:val="21"/>
                <w:szCs w:val="20"/>
              </w:rPr>
            </w:pPr>
            <w:r>
              <w:rPr>
                <w:rFonts w:hint="eastAsia" w:ascii="仿宋_GB2312" w:hAnsi="Times New Roman" w:eastAsia="仿宋_GB2312" w:cs="Times New Roman"/>
                <w:b/>
                <w:bCs/>
                <w:kern w:val="0"/>
                <w:sz w:val="21"/>
                <w:szCs w:val="20"/>
              </w:rPr>
              <w:t>专业名称</w:t>
            </w:r>
          </w:p>
        </w:tc>
        <w:tc>
          <w:tcPr>
            <w:tcW w:w="3126" w:type="dxa"/>
            <w:vAlign w:val="center"/>
          </w:tcPr>
          <w:p>
            <w:pPr>
              <w:spacing w:line="360" w:lineRule="auto"/>
              <w:ind w:firstLine="422" w:firstLineChars="200"/>
              <w:jc w:val="center"/>
              <w:rPr>
                <w:rFonts w:ascii="仿宋_GB2312" w:hAnsi="Times New Roman" w:eastAsia="仿宋_GB2312" w:cs="Times New Roman"/>
                <w:b/>
                <w:bCs/>
                <w:kern w:val="0"/>
                <w:sz w:val="21"/>
                <w:szCs w:val="20"/>
              </w:rPr>
            </w:pPr>
            <w:r>
              <w:rPr>
                <w:rFonts w:hint="eastAsia" w:ascii="仿宋_GB2312" w:hAnsi="Times New Roman" w:eastAsia="仿宋_GB2312" w:cs="Times New Roman"/>
                <w:b/>
                <w:bCs/>
                <w:kern w:val="0"/>
                <w:sz w:val="21"/>
                <w:szCs w:val="20"/>
              </w:rPr>
              <w:t>专业在校学生数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3114" w:type="dxa"/>
            <w:vAlign w:val="center"/>
          </w:tcPr>
          <w:p>
            <w:pPr>
              <w:spacing w:line="360" w:lineRule="auto"/>
              <w:ind w:firstLine="420" w:firstLineChars="200"/>
              <w:jc w:val="center"/>
              <w:rPr>
                <w:rFonts w:ascii="仿宋_GB2312" w:hAnsi="Times New Roman" w:eastAsia="仿宋_GB2312" w:cs="Times New Roman"/>
                <w:bCs/>
                <w:kern w:val="0"/>
                <w:sz w:val="21"/>
                <w:szCs w:val="20"/>
              </w:rPr>
            </w:pPr>
          </w:p>
        </w:tc>
        <w:tc>
          <w:tcPr>
            <w:tcW w:w="3126" w:type="dxa"/>
            <w:vAlign w:val="center"/>
          </w:tcPr>
          <w:p>
            <w:pPr>
              <w:spacing w:line="360" w:lineRule="auto"/>
              <w:ind w:firstLine="420" w:firstLineChars="200"/>
              <w:jc w:val="center"/>
              <w:rPr>
                <w:rFonts w:ascii="仿宋_GB2312" w:hAnsi="Times New Roman" w:eastAsia="仿宋_GB2312" w:cs="Times New Roman"/>
                <w:bCs/>
                <w:kern w:val="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3114" w:type="dxa"/>
            <w:vAlign w:val="center"/>
          </w:tcPr>
          <w:p>
            <w:pPr>
              <w:spacing w:line="360" w:lineRule="auto"/>
              <w:ind w:firstLine="420" w:firstLineChars="200"/>
              <w:jc w:val="center"/>
              <w:rPr>
                <w:rFonts w:ascii="仿宋_GB2312" w:hAnsi="Times New Roman" w:eastAsia="仿宋_GB2312" w:cs="Times New Roman"/>
                <w:bCs/>
                <w:kern w:val="0"/>
                <w:sz w:val="21"/>
                <w:szCs w:val="20"/>
              </w:rPr>
            </w:pPr>
          </w:p>
        </w:tc>
        <w:tc>
          <w:tcPr>
            <w:tcW w:w="3126" w:type="dxa"/>
            <w:vAlign w:val="center"/>
          </w:tcPr>
          <w:p>
            <w:pPr>
              <w:spacing w:line="360" w:lineRule="auto"/>
              <w:ind w:firstLine="420" w:firstLineChars="200"/>
              <w:jc w:val="center"/>
              <w:rPr>
                <w:rFonts w:ascii="仿宋_GB2312" w:hAnsi="Times New Roman" w:eastAsia="仿宋_GB2312" w:cs="Times New Roman"/>
                <w:bCs/>
                <w:kern w:val="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3114" w:type="dxa"/>
            <w:vAlign w:val="center"/>
          </w:tcPr>
          <w:p>
            <w:pPr>
              <w:spacing w:line="360" w:lineRule="auto"/>
              <w:ind w:firstLine="420" w:firstLineChars="200"/>
              <w:jc w:val="center"/>
              <w:rPr>
                <w:rFonts w:ascii="仿宋_GB2312" w:hAnsi="Times New Roman" w:eastAsia="仿宋_GB2312" w:cs="Times New Roman"/>
                <w:bCs/>
                <w:kern w:val="0"/>
                <w:sz w:val="21"/>
                <w:szCs w:val="20"/>
              </w:rPr>
            </w:pPr>
          </w:p>
        </w:tc>
        <w:tc>
          <w:tcPr>
            <w:tcW w:w="3126" w:type="dxa"/>
            <w:vAlign w:val="center"/>
          </w:tcPr>
          <w:p>
            <w:pPr>
              <w:spacing w:line="360" w:lineRule="auto"/>
              <w:ind w:firstLine="420" w:firstLineChars="200"/>
              <w:jc w:val="center"/>
              <w:rPr>
                <w:rFonts w:ascii="仿宋_GB2312" w:hAnsi="Times New Roman" w:eastAsia="仿宋_GB2312" w:cs="Times New Roman"/>
                <w:bCs/>
                <w:kern w:val="0"/>
                <w:sz w:val="21"/>
                <w:szCs w:val="20"/>
              </w:rPr>
            </w:pPr>
          </w:p>
        </w:tc>
      </w:tr>
    </w:tbl>
    <w:p>
      <w:pPr>
        <w:spacing w:line="360" w:lineRule="auto"/>
        <w:ind w:firstLine="482" w:firstLineChars="200"/>
        <w:rPr>
          <w:rFonts w:ascii="仿宋_GB2312" w:hAnsi="Times New Roman" w:eastAsia="仿宋_GB2312" w:cs="Times New Roman"/>
          <w:b/>
          <w:bCs/>
          <w:sz w:val="24"/>
        </w:rPr>
      </w:pPr>
      <w:r>
        <w:rPr>
          <w:rFonts w:hint="eastAsia" w:ascii="仿宋_GB2312" w:hAnsi="Times New Roman" w:eastAsia="仿宋_GB2312" w:cs="Times New Roman"/>
          <w:b/>
          <w:bCs/>
          <w:sz w:val="24"/>
        </w:rPr>
        <w:t>（3）试点举措及保障措施</w:t>
      </w:r>
    </w:p>
    <w:p>
      <w:pPr>
        <w:spacing w:line="480" w:lineRule="exact"/>
        <w:ind w:firstLine="480" w:firstLineChars="200"/>
        <w:rPr>
          <w:rFonts w:hint="eastAsia" w:cs="宋体" w:asciiTheme="majorEastAsia" w:hAnsiTheme="majorEastAsia" w:eastAsiaTheme="majorEastAsia"/>
          <w:color w:val="000000" w:themeColor="text1"/>
          <w:sz w:val="24"/>
          <w:szCs w:val="24"/>
          <w14:textFill>
            <w14:solidFill>
              <w14:schemeClr w14:val="tx1"/>
            </w14:solidFill>
          </w14:textFill>
        </w:rPr>
      </w:pPr>
      <w:bookmarkStart w:id="0" w:name="_Hlk37975045"/>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1）</w:t>
      </w:r>
      <w:r>
        <w:rPr>
          <w:rFonts w:hint="eastAsia" w:cs="宋体" w:asciiTheme="majorEastAsia" w:hAnsiTheme="majorEastAsia" w:eastAsiaTheme="majorEastAsia"/>
          <w:color w:val="000000" w:themeColor="text1"/>
          <w:sz w:val="24"/>
          <w:szCs w:val="24"/>
          <w14:textFill>
            <w14:solidFill>
              <w14:schemeClr w14:val="tx1"/>
            </w14:solidFill>
          </w14:textFill>
        </w:rPr>
        <w:t>师资保障：</w:t>
      </w:r>
      <w:bookmarkEnd w:id="0"/>
    </w:p>
    <w:p>
      <w:pPr>
        <w:spacing w:line="600" w:lineRule="exact"/>
        <w:ind w:firstLine="480" w:firstLineChars="200"/>
        <w:rPr>
          <w:rFonts w:hint="eastAsia" w:ascii="楷体_GB2312" w:hAnsi="Times New Roman" w:cs="Times New Roman" w:eastAsiaTheme="majorEastAsia"/>
          <w:sz w:val="32"/>
          <w:lang w:eastAsia="zh-CN"/>
        </w:rPr>
      </w:pPr>
      <w:r>
        <w:rPr>
          <w:rFonts w:hint="eastAsia" w:cs="宋体" w:asciiTheme="majorEastAsia" w:hAnsiTheme="majorEastAsia" w:eastAsiaTheme="majorEastAsia"/>
          <w:color w:val="000000" w:themeColor="text1"/>
          <w:sz w:val="24"/>
          <w:szCs w:val="24"/>
          <w14:textFill>
            <w14:solidFill>
              <w14:schemeClr w14:val="tx1"/>
            </w14:solidFill>
          </w14:textFill>
        </w:rPr>
        <w:t>人才培养及课程建设保障：（请描述试点证书的教学组织实施方式。其中，实行课证融通的，请说明证书标准融入课程体系及课程建设情况</w:t>
      </w:r>
      <w:r>
        <w:rPr>
          <w:rFonts w:hint="eastAsia" w:cs="宋体" w:asciiTheme="majorEastAsia" w:hAnsiTheme="majorEastAsia" w:eastAsiaTheme="majorEastAsia"/>
          <w:color w:val="000000" w:themeColor="text1"/>
          <w:sz w:val="24"/>
          <w:szCs w:val="24"/>
          <w:lang w:eastAsia="zh-CN"/>
          <w14:textFill>
            <w14:solidFill>
              <w14:schemeClr w14:val="tx1"/>
            </w14:solidFill>
          </w14:textFill>
        </w:rPr>
        <w:t>）</w:t>
      </w:r>
    </w:p>
    <w:p>
      <w:pPr>
        <w:spacing w:line="600" w:lineRule="exact"/>
        <w:ind w:firstLine="640" w:firstLineChars="200"/>
        <w:rPr>
          <w:rFonts w:hint="eastAsia" w:ascii="楷体_GB2312" w:hAnsi="Times New Roman" w:eastAsia="楷体_GB2312" w:cs="Times New Roman"/>
          <w:color w:val="FF0000"/>
          <w:sz w:val="32"/>
          <w:lang w:val="en-US" w:eastAsia="zh-CN"/>
        </w:rPr>
      </w:pPr>
      <w:r>
        <w:rPr>
          <w:rFonts w:hint="eastAsia" w:ascii="楷体_GB2312" w:hAnsi="Times New Roman" w:eastAsia="楷体_GB2312" w:cs="Times New Roman"/>
          <w:color w:val="FF0000"/>
          <w:sz w:val="32"/>
          <w:lang w:val="en-US" w:eastAsia="zh-CN"/>
        </w:rPr>
        <w:t xml:space="preserve">证书标准和课证融通参考附件1 </w:t>
      </w:r>
    </w:p>
    <w:p>
      <w:pPr>
        <w:spacing w:line="480" w:lineRule="exact"/>
        <w:ind w:firstLine="480" w:firstLineChars="200"/>
        <w:rPr>
          <w:rFonts w:cs="宋体" w:asciiTheme="majorEastAsia" w:hAnsiTheme="majorEastAsia" w:eastAsiaTheme="majorEastAsia"/>
          <w:color w:val="000000" w:themeColor="text1"/>
          <w:sz w:val="24"/>
          <w:szCs w:val="24"/>
          <w14:textFill>
            <w14:solidFill>
              <w14:schemeClr w14:val="tx1"/>
            </w14:solidFill>
          </w14:textFill>
        </w:rPr>
      </w:pPr>
    </w:p>
    <w:p>
      <w:pPr>
        <w:spacing w:line="480" w:lineRule="exact"/>
        <w:ind w:firstLine="480" w:firstLineChars="200"/>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2）</w:t>
      </w:r>
      <w:r>
        <w:rPr>
          <w:rFonts w:hint="eastAsia" w:cs="宋体" w:asciiTheme="majorEastAsia" w:hAnsiTheme="majorEastAsia" w:eastAsiaTheme="majorEastAsia"/>
          <w:color w:val="000000" w:themeColor="text1"/>
          <w:sz w:val="24"/>
          <w:szCs w:val="24"/>
          <w14:textFill>
            <w14:solidFill>
              <w14:schemeClr w14:val="tx1"/>
            </w14:solidFill>
          </w14:textFill>
        </w:rPr>
        <w:t>实训保障：</w:t>
      </w:r>
      <w:r>
        <w:rPr>
          <w:rFonts w:hint="eastAsia" w:cs="宋体" w:asciiTheme="majorEastAsia" w:hAnsiTheme="majorEastAsia" w:eastAsiaTheme="majorEastAsia"/>
          <w:color w:val="000000" w:themeColor="text1"/>
          <w:sz w:val="24"/>
          <w:szCs w:val="24"/>
          <w:lang w:eastAsia="zh-CN"/>
          <w14:textFill>
            <w14:solidFill>
              <w14:schemeClr w14:val="tx1"/>
            </w14:solidFill>
          </w14:textFill>
        </w:rPr>
        <w:t>（</w:t>
      </w:r>
      <w:r>
        <w:rPr>
          <w:rFonts w:hint="eastAsia" w:cs="宋体" w:asciiTheme="majorEastAsia" w:hAnsiTheme="majorEastAsia" w:eastAsiaTheme="majorEastAsia"/>
          <w:color w:val="000000" w:themeColor="text1"/>
          <w:sz w:val="24"/>
          <w:szCs w:val="24"/>
          <w14:textFill>
            <w14:solidFill>
              <w14:schemeClr w14:val="tx1"/>
            </w14:solidFill>
          </w14:textFill>
        </w:rPr>
        <w:t>单独组织培训的，请说明培训的课时数及培训组织实施办法）</w:t>
      </w:r>
    </w:p>
    <w:p>
      <w:pPr>
        <w:spacing w:line="600" w:lineRule="exact"/>
        <w:ind w:firstLine="640" w:firstLineChars="200"/>
        <w:rPr>
          <w:rFonts w:hint="eastAsia" w:ascii="楷体_GB2312" w:hAnsi="Times New Roman" w:eastAsia="楷体_GB2312" w:cs="Times New Roman"/>
          <w:color w:val="FF0000"/>
          <w:sz w:val="32"/>
          <w:lang w:val="en-US" w:eastAsia="zh-CN"/>
        </w:rPr>
      </w:pPr>
      <w:r>
        <w:rPr>
          <w:rFonts w:hint="eastAsia" w:ascii="楷体_GB2312" w:hAnsi="Times New Roman" w:eastAsia="楷体_GB2312" w:cs="Times New Roman"/>
          <w:color w:val="FF0000"/>
          <w:sz w:val="32"/>
          <w:lang w:val="en-US" w:eastAsia="zh-CN"/>
        </w:rPr>
        <w:t>单独组织培训的可参考如下课时数安排。</w:t>
      </w:r>
    </w:p>
    <w:p>
      <w:pPr>
        <w:spacing w:line="480" w:lineRule="exact"/>
        <w:ind w:firstLine="640" w:firstLineChars="200"/>
        <w:rPr>
          <w:rFonts w:hint="eastAsia" w:ascii="楷体_GB2312" w:hAnsi="Times New Roman" w:eastAsia="楷体_GB2312" w:cs="Times New Roman"/>
          <w:color w:val="FF0000"/>
          <w:sz w:val="32"/>
          <w:lang w:val="en-US" w:eastAsia="zh-CN"/>
        </w:rPr>
      </w:pPr>
      <w:r>
        <w:rPr>
          <w:rFonts w:hint="eastAsia" w:ascii="楷体_GB2312" w:hAnsi="Times New Roman" w:eastAsia="楷体_GB2312" w:cs="Times New Roman"/>
          <w:color w:val="FF0000"/>
          <w:sz w:val="32"/>
          <w:lang w:val="en-US" w:eastAsia="zh-CN"/>
        </w:rPr>
        <w:t>初级和中级证书集中培训学时安排：</w:t>
      </w:r>
    </w:p>
    <w:tbl>
      <w:tblPr>
        <w:tblStyle w:val="8"/>
        <w:tblpPr w:leftFromText="180" w:rightFromText="180" w:vertAnchor="text" w:horzAnchor="page" w:tblpX="1580" w:tblpY="464"/>
        <w:tblOverlap w:val="never"/>
        <w:tblW w:w="8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4997"/>
        <w:gridCol w:w="1224"/>
        <w:gridCol w:w="1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5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土建计量软件介绍及基本设置</w:t>
            </w:r>
          </w:p>
        </w:tc>
        <w:tc>
          <w:tcPr>
            <w:tcW w:w="49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23" w:firstLineChars="11"/>
              <w:rPr>
                <w:rFonts w:ascii="仿宋" w:hAnsi="仿宋" w:eastAsia="仿宋" w:cs="仿宋"/>
                <w:color w:val="FF0000"/>
              </w:rPr>
            </w:pPr>
            <w:r>
              <w:rPr>
                <w:rFonts w:hint="eastAsia" w:ascii="仿宋" w:hAnsi="仿宋" w:eastAsia="仿宋" w:cs="仿宋"/>
                <w:color w:val="FF0000"/>
              </w:rPr>
              <w:t>1.1+X能力与GTJ软件技能的对应关系；</w:t>
            </w:r>
          </w:p>
          <w:p>
            <w:pPr>
              <w:adjustRightInd w:val="0"/>
              <w:snapToGrid w:val="0"/>
              <w:spacing w:line="240" w:lineRule="atLeast"/>
              <w:ind w:firstLine="23" w:firstLineChars="11"/>
              <w:rPr>
                <w:rFonts w:ascii="仿宋" w:hAnsi="仿宋" w:eastAsia="仿宋" w:cs="仿宋"/>
                <w:color w:val="FF0000"/>
              </w:rPr>
            </w:pPr>
            <w:r>
              <w:rPr>
                <w:rFonts w:hint="eastAsia" w:ascii="仿宋" w:hAnsi="仿宋" w:eastAsia="仿宋" w:cs="仿宋"/>
                <w:color w:val="FF0000"/>
              </w:rPr>
              <w:t>2.借助案例实操，掌握基于业务的软件；</w:t>
            </w:r>
          </w:p>
          <w:p>
            <w:pPr>
              <w:adjustRightInd w:val="0"/>
              <w:snapToGrid w:val="0"/>
              <w:spacing w:line="240" w:lineRule="atLeast"/>
              <w:ind w:firstLine="23" w:firstLineChars="11"/>
              <w:rPr>
                <w:rFonts w:ascii="仿宋" w:hAnsi="仿宋" w:eastAsia="仿宋" w:cs="仿宋"/>
                <w:color w:val="FF0000"/>
              </w:rPr>
            </w:pPr>
            <w:r>
              <w:rPr>
                <w:rFonts w:hint="eastAsia" w:ascii="仿宋" w:hAnsi="仿宋" w:eastAsia="仿宋" w:cs="仿宋"/>
                <w:color w:val="FF0000"/>
              </w:rPr>
              <w:t>3.新建工程及设置讲解；</w:t>
            </w:r>
          </w:p>
          <w:p>
            <w:pPr>
              <w:adjustRightInd w:val="0"/>
              <w:snapToGrid w:val="0"/>
              <w:spacing w:line="240" w:lineRule="atLeast"/>
              <w:ind w:firstLine="23" w:firstLineChars="11"/>
              <w:rPr>
                <w:rFonts w:ascii="仿宋" w:hAnsi="仿宋" w:eastAsia="仿宋" w:cs="仿宋"/>
                <w:color w:val="FF0000"/>
              </w:rPr>
            </w:pPr>
            <w:r>
              <w:rPr>
                <w:rFonts w:hint="eastAsia" w:ascii="仿宋" w:hAnsi="仿宋" w:eastAsia="仿宋" w:cs="仿宋"/>
                <w:color w:val="FF0000"/>
              </w:rPr>
              <w:t>4.识别楼层表及修改信息；</w:t>
            </w:r>
          </w:p>
          <w:p>
            <w:pPr>
              <w:adjustRightInd w:val="0"/>
              <w:snapToGrid w:val="0"/>
              <w:spacing w:line="240" w:lineRule="atLeast"/>
              <w:ind w:firstLine="23" w:firstLineChars="11"/>
              <w:rPr>
                <w:rFonts w:ascii="仿宋" w:hAnsi="仿宋" w:eastAsia="仿宋" w:cs="仿宋"/>
                <w:color w:val="FF0000"/>
              </w:rPr>
            </w:pPr>
            <w:r>
              <w:rPr>
                <w:rFonts w:hint="eastAsia" w:ascii="仿宋" w:hAnsi="仿宋" w:eastAsia="仿宋" w:cs="仿宋"/>
                <w:color w:val="FF0000"/>
              </w:rPr>
              <w:t>5.识别轴网及修改信息</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 xml:space="preserve"> 现场教学、上机实操</w:t>
            </w:r>
          </w:p>
        </w:tc>
        <w:tc>
          <w:tcPr>
            <w:tcW w:w="12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5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土建计量柱、梁计量</w:t>
            </w:r>
          </w:p>
        </w:tc>
        <w:tc>
          <w:tcPr>
            <w:tcW w:w="49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1.创建绘制及CAD识别柱构件；</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2.创建绘制及CAD识别梁构件；</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3.做法套取，汇总计算，查看柱、梁工程量</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现场教学、上机实操</w:t>
            </w:r>
          </w:p>
        </w:tc>
        <w:tc>
          <w:tcPr>
            <w:tcW w:w="12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土建计量板、墙计量</w:t>
            </w:r>
          </w:p>
        </w:tc>
        <w:tc>
          <w:tcPr>
            <w:tcW w:w="49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1.创建绘制及CAD识别板构件；</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2.创建绘制及CAD识别墙构件；</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3.做法套取，汇总计算，查看板、墙工程量；</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现场教学、上机实操</w:t>
            </w:r>
          </w:p>
        </w:tc>
        <w:tc>
          <w:tcPr>
            <w:tcW w:w="12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土建计量垫层、土方、门窗计量</w:t>
            </w:r>
          </w:p>
        </w:tc>
        <w:tc>
          <w:tcPr>
            <w:tcW w:w="49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1.创建绘制垫层构件；</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2.创建绘制土方构件；</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3.创建绘制门窗构件；</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4.做法套取，汇总计算，查看垫层、土方、门窗工程量；</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现场教学、上机实操</w:t>
            </w:r>
          </w:p>
        </w:tc>
        <w:tc>
          <w:tcPr>
            <w:tcW w:w="12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装修构件及其他楼层复制计量</w:t>
            </w:r>
          </w:p>
        </w:tc>
        <w:tc>
          <w:tcPr>
            <w:tcW w:w="49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1.创建绘制装修构件（楼地面、踢脚线、天棚吊顶、内外墙面等）；</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2.做法套取，汇总计算，查看装修工程量;</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3.复制到其他楼层应用、替换构件应用</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现场教学、上机实操</w:t>
            </w:r>
          </w:p>
        </w:tc>
        <w:tc>
          <w:tcPr>
            <w:tcW w:w="12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工程量清单编制</w:t>
            </w:r>
          </w:p>
        </w:tc>
        <w:tc>
          <w:tcPr>
            <w:tcW w:w="4997" w:type="dxa"/>
            <w:tcBorders>
              <w:top w:val="single" w:color="auto" w:sz="4" w:space="0"/>
              <w:left w:val="single" w:color="auto" w:sz="4" w:space="0"/>
              <w:bottom w:val="single" w:color="auto" w:sz="4" w:space="0"/>
              <w:right w:val="single" w:color="auto" w:sz="4" w:space="0"/>
            </w:tcBorders>
            <w:vAlign w:val="center"/>
          </w:tcPr>
          <w:p>
            <w:pPr>
              <w:numPr>
                <w:ilvl w:val="0"/>
                <w:numId w:val="1"/>
              </w:num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完成工程拉清单计算汇总</w:t>
            </w:r>
          </w:p>
          <w:p>
            <w:pPr>
              <w:numPr>
                <w:ilvl w:val="0"/>
                <w:numId w:val="1"/>
              </w:num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完成工程量清单编制</w:t>
            </w:r>
          </w:p>
          <w:p>
            <w:pPr>
              <w:numPr>
                <w:ilvl w:val="0"/>
                <w:numId w:val="1"/>
              </w:num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掌握工程清单与模拟清单的差异性分析方法</w:t>
            </w:r>
          </w:p>
          <w:p>
            <w:pPr>
              <w:numPr>
                <w:ilvl w:val="0"/>
                <w:numId w:val="1"/>
              </w:num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掌握工程量清单列项完整性的检查方法</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现场教学、</w:t>
            </w:r>
          </w:p>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上机实操</w:t>
            </w:r>
          </w:p>
        </w:tc>
        <w:tc>
          <w:tcPr>
            <w:tcW w:w="12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工程造价的确定</w:t>
            </w:r>
          </w:p>
        </w:tc>
        <w:tc>
          <w:tcPr>
            <w:tcW w:w="49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1、编制工程量清单报表</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2、进行工程量清单检查</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3、应用计价软件GCCP6.0进行工程量清单计价</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4、完成人材机费用调整</w:t>
            </w:r>
          </w:p>
          <w:p>
            <w:pPr>
              <w:adjustRightInd w:val="0"/>
              <w:snapToGrid w:val="0"/>
              <w:spacing w:line="200" w:lineRule="atLeast"/>
              <w:jc w:val="left"/>
              <w:rPr>
                <w:rFonts w:hint="eastAsia" w:ascii="仿宋" w:hAnsi="仿宋" w:eastAsia="仿宋" w:cs="仿宋"/>
                <w:color w:val="FF0000"/>
              </w:rPr>
            </w:pPr>
            <w:r>
              <w:rPr>
                <w:rFonts w:hint="eastAsia" w:ascii="仿宋" w:hAnsi="仿宋" w:eastAsia="仿宋" w:cs="仿宋"/>
                <w:color w:val="FF0000"/>
              </w:rPr>
              <w:t>5、进行预算文件的自检</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6、编制电子招（投）标文件</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现场教学、</w:t>
            </w:r>
          </w:p>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上机实操</w:t>
            </w:r>
          </w:p>
        </w:tc>
        <w:tc>
          <w:tcPr>
            <w:tcW w:w="12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p>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真题实战</w:t>
            </w:r>
          </w:p>
        </w:tc>
        <w:tc>
          <w:tcPr>
            <w:tcW w:w="49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23" w:firstLineChars="11"/>
              <w:rPr>
                <w:rFonts w:ascii="仿宋" w:hAnsi="仿宋" w:eastAsia="仿宋" w:cs="仿宋"/>
                <w:color w:val="FF0000"/>
              </w:rPr>
            </w:pPr>
            <w:r>
              <w:rPr>
                <w:rFonts w:hint="eastAsia" w:ascii="仿宋" w:hAnsi="仿宋" w:eastAsia="仿宋" w:cs="仿宋"/>
                <w:color w:val="FF0000"/>
              </w:rPr>
              <w:t>1.真题实战及应试技巧；</w:t>
            </w:r>
          </w:p>
          <w:p>
            <w:pPr>
              <w:adjustRightInd w:val="0"/>
              <w:snapToGrid w:val="0"/>
              <w:spacing w:line="240" w:lineRule="atLeast"/>
              <w:ind w:firstLine="23" w:firstLineChars="11"/>
              <w:rPr>
                <w:rFonts w:ascii="仿宋" w:hAnsi="仿宋" w:eastAsia="仿宋" w:cs="仿宋"/>
                <w:color w:val="FF0000"/>
              </w:rPr>
            </w:pPr>
            <w:r>
              <w:rPr>
                <w:rFonts w:hint="eastAsia" w:ascii="仿宋" w:hAnsi="仿宋" w:eastAsia="仿宋" w:cs="仿宋"/>
                <w:color w:val="FF0000"/>
              </w:rPr>
              <w:t>2.试题解析（考点解析、难易点解析）；</w:t>
            </w:r>
          </w:p>
          <w:p>
            <w:pPr>
              <w:adjustRightInd w:val="0"/>
              <w:snapToGrid w:val="0"/>
              <w:spacing w:line="240" w:lineRule="atLeast"/>
              <w:ind w:firstLine="23" w:firstLineChars="11"/>
              <w:rPr>
                <w:rFonts w:ascii="仿宋" w:hAnsi="仿宋" w:eastAsia="仿宋" w:cs="仿宋"/>
                <w:color w:val="FF0000"/>
              </w:rPr>
            </w:pPr>
            <w:r>
              <w:rPr>
                <w:rFonts w:hint="eastAsia" w:ascii="仿宋" w:hAnsi="仿宋" w:eastAsia="仿宋" w:cs="仿宋"/>
                <w:color w:val="FF0000"/>
              </w:rPr>
              <w:t>3.应试技巧（时间分配、备考准备、重点圈定）；</w:t>
            </w:r>
          </w:p>
          <w:p>
            <w:pPr>
              <w:adjustRightInd w:val="0"/>
              <w:snapToGrid w:val="0"/>
              <w:spacing w:line="240" w:lineRule="atLeast"/>
              <w:ind w:firstLine="23" w:firstLineChars="11"/>
              <w:rPr>
                <w:rFonts w:ascii="仿宋" w:hAnsi="仿宋" w:eastAsia="仿宋" w:cs="仿宋"/>
                <w:color w:val="FF0000"/>
              </w:rPr>
            </w:pPr>
            <w:r>
              <w:rPr>
                <w:rFonts w:hint="eastAsia" w:ascii="仿宋" w:hAnsi="仿宋" w:eastAsia="仿宋" w:cs="仿宋"/>
                <w:color w:val="FF0000"/>
              </w:rPr>
              <w:t>4.评测点评；</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5.总结回顾</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现场教学、</w:t>
            </w:r>
          </w:p>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上机实操</w:t>
            </w:r>
          </w:p>
        </w:tc>
        <w:tc>
          <w:tcPr>
            <w:tcW w:w="12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4</w:t>
            </w:r>
          </w:p>
        </w:tc>
      </w:tr>
    </w:tbl>
    <w:p>
      <w:pPr>
        <w:spacing w:line="600" w:lineRule="exact"/>
        <w:ind w:firstLine="640" w:firstLineChars="200"/>
        <w:rPr>
          <w:rFonts w:hint="default" w:ascii="楷体_GB2312" w:hAnsi="Times New Roman" w:eastAsia="楷体_GB2312" w:cs="Times New Roman"/>
          <w:color w:val="FF0000"/>
          <w:sz w:val="32"/>
          <w:lang w:val="en-US" w:eastAsia="zh-CN"/>
        </w:rPr>
      </w:pPr>
      <w:r>
        <w:rPr>
          <w:rFonts w:hint="eastAsia" w:ascii="楷体_GB2312" w:hAnsi="Times New Roman" w:eastAsia="楷体_GB2312" w:cs="Times New Roman"/>
          <w:color w:val="FF0000"/>
          <w:sz w:val="32"/>
          <w:lang w:val="en-US" w:eastAsia="zh-CN"/>
        </w:rPr>
        <w:t>高级证书集中培训学时安排：</w:t>
      </w:r>
    </w:p>
    <w:tbl>
      <w:tblPr>
        <w:tblStyle w:val="8"/>
        <w:tblpPr w:leftFromText="180" w:rightFromText="180" w:vertAnchor="text" w:horzAnchor="page" w:tblpX="1568" w:tblpY="464"/>
        <w:tblOverlap w:val="never"/>
        <w:tblW w:w="90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3"/>
        <w:gridCol w:w="4997"/>
        <w:gridCol w:w="1248"/>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5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“1+X</w:t>
            </w:r>
            <w:r>
              <w:rPr>
                <w:rFonts w:ascii="仿宋" w:hAnsi="仿宋" w:eastAsia="仿宋" w:cs="仿宋"/>
                <w:color w:val="FF0000"/>
              </w:rPr>
              <w:t>”</w:t>
            </w:r>
            <w:r>
              <w:rPr>
                <w:rFonts w:hint="eastAsia" w:ascii="仿宋" w:hAnsi="仿宋" w:eastAsia="仿宋" w:cs="仿宋"/>
                <w:color w:val="FF0000"/>
              </w:rPr>
              <w:t>高级考核标准及大纲解析</w:t>
            </w:r>
          </w:p>
        </w:tc>
        <w:tc>
          <w:tcPr>
            <w:tcW w:w="49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23" w:firstLineChars="11"/>
              <w:rPr>
                <w:rFonts w:ascii="仿宋" w:hAnsi="仿宋" w:eastAsia="仿宋" w:cs="仿宋"/>
                <w:color w:val="FF0000"/>
              </w:rPr>
            </w:pPr>
            <w:r>
              <w:rPr>
                <w:rFonts w:hint="eastAsia" w:ascii="仿宋" w:hAnsi="仿宋" w:eastAsia="仿宋" w:cs="仿宋"/>
                <w:color w:val="FF0000"/>
              </w:rPr>
              <w:t>1、项目背景介绍，规则宣读；</w:t>
            </w:r>
          </w:p>
          <w:p>
            <w:pPr>
              <w:adjustRightInd w:val="0"/>
              <w:snapToGrid w:val="0"/>
              <w:spacing w:line="240" w:lineRule="atLeast"/>
              <w:ind w:firstLine="23" w:firstLineChars="11"/>
              <w:rPr>
                <w:rFonts w:ascii="仿宋" w:hAnsi="仿宋" w:eastAsia="仿宋" w:cs="仿宋"/>
                <w:color w:val="FF0000"/>
              </w:rPr>
            </w:pPr>
            <w:r>
              <w:rPr>
                <w:rFonts w:hint="eastAsia" w:ascii="仿宋" w:hAnsi="仿宋" w:eastAsia="仿宋" w:cs="仿宋"/>
                <w:color w:val="FF0000"/>
              </w:rPr>
              <w:t>2、项目整体策划安排；</w:t>
            </w:r>
          </w:p>
          <w:p>
            <w:pPr>
              <w:adjustRightInd w:val="0"/>
              <w:snapToGrid w:val="0"/>
              <w:spacing w:line="240" w:lineRule="atLeast"/>
              <w:ind w:firstLine="23" w:firstLineChars="11"/>
              <w:rPr>
                <w:rFonts w:ascii="仿宋" w:hAnsi="仿宋" w:eastAsia="仿宋" w:cs="仿宋"/>
                <w:color w:val="FF0000"/>
              </w:rPr>
            </w:pPr>
            <w:r>
              <w:rPr>
                <w:rFonts w:hint="eastAsia" w:ascii="仿宋" w:hAnsi="仿宋" w:eastAsia="仿宋" w:cs="仿宋"/>
                <w:color w:val="FF0000"/>
              </w:rPr>
              <w:t>3、项目达成的目的、目标，达学习共识；</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4、1+X高级综合考核标准及考评大纲解读</w:t>
            </w:r>
          </w:p>
        </w:tc>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讲座、小组研讨</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5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1+X安装计量介绍及基本设置</w:t>
            </w:r>
          </w:p>
        </w:tc>
        <w:tc>
          <w:tcPr>
            <w:tcW w:w="49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23" w:firstLineChars="11"/>
              <w:rPr>
                <w:rFonts w:ascii="仿宋" w:hAnsi="仿宋" w:eastAsia="仿宋" w:cs="仿宋"/>
                <w:color w:val="FF0000"/>
              </w:rPr>
            </w:pPr>
            <w:r>
              <w:rPr>
                <w:rFonts w:hint="eastAsia" w:ascii="仿宋" w:hAnsi="仿宋" w:eastAsia="仿宋" w:cs="仿宋"/>
                <w:color w:val="FF0000"/>
              </w:rPr>
              <w:t>1.业务案例介绍</w:t>
            </w:r>
          </w:p>
          <w:p>
            <w:pPr>
              <w:adjustRightInd w:val="0"/>
              <w:snapToGrid w:val="0"/>
              <w:spacing w:line="240" w:lineRule="atLeast"/>
              <w:ind w:firstLine="23" w:firstLineChars="11"/>
              <w:rPr>
                <w:rFonts w:ascii="仿宋" w:hAnsi="仿宋" w:eastAsia="仿宋" w:cs="仿宋"/>
                <w:color w:val="FF0000"/>
              </w:rPr>
            </w:pPr>
            <w:r>
              <w:rPr>
                <w:rFonts w:hint="eastAsia" w:ascii="仿宋" w:hAnsi="仿宋" w:eastAsia="仿宋" w:cs="仿宋"/>
                <w:color w:val="FF0000"/>
              </w:rPr>
              <w:t>2.借助案例实操，掌握基于业务的软件</w:t>
            </w:r>
          </w:p>
        </w:tc>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现场教学、上机实操</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543" w:type="dxa"/>
            <w:tcBorders>
              <w:top w:val="single" w:color="auto" w:sz="4" w:space="0"/>
              <w:left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成本分析</w:t>
            </w:r>
          </w:p>
        </w:tc>
        <w:tc>
          <w:tcPr>
            <w:tcW w:w="4997" w:type="dxa"/>
            <w:tcBorders>
              <w:top w:val="single" w:color="auto" w:sz="4" w:space="0"/>
              <w:left w:val="single" w:color="auto" w:sz="4" w:space="0"/>
              <w:bottom w:val="single" w:color="auto" w:sz="4" w:space="0"/>
              <w:right w:val="single" w:color="auto" w:sz="4" w:space="0"/>
            </w:tcBorders>
            <w:vAlign w:val="center"/>
          </w:tcPr>
          <w:p>
            <w:pPr>
              <w:numPr>
                <w:ilvl w:val="0"/>
                <w:numId w:val="2"/>
              </w:num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应用软件对工程量及价格指标进行分析及应用；</w:t>
            </w:r>
          </w:p>
          <w:p>
            <w:pPr>
              <w:numPr>
                <w:ilvl w:val="0"/>
                <w:numId w:val="2"/>
              </w:num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应用软件建立自积累指标数据库；</w:t>
            </w:r>
          </w:p>
          <w:p>
            <w:pPr>
              <w:numPr>
                <w:ilvl w:val="0"/>
                <w:numId w:val="2"/>
              </w:num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运用计价软件、行业大数据以及自积累数据来判断分析综合单价组价的合理性；</w:t>
            </w:r>
          </w:p>
          <w:p>
            <w:pPr>
              <w:numPr>
                <w:ilvl w:val="0"/>
                <w:numId w:val="2"/>
              </w:num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审核工程造价并进行修改</w:t>
            </w:r>
          </w:p>
        </w:tc>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现场教学、上机实操</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3" w:type="dxa"/>
            <w:tcBorders>
              <w:top w:val="single" w:color="auto" w:sz="4" w:space="0"/>
              <w:left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施工进度款管理</w:t>
            </w:r>
          </w:p>
        </w:tc>
        <w:tc>
          <w:tcPr>
            <w:tcW w:w="4997" w:type="dxa"/>
            <w:tcBorders>
              <w:top w:val="single" w:color="auto" w:sz="4" w:space="0"/>
              <w:left w:val="single" w:color="auto" w:sz="4" w:space="0"/>
              <w:bottom w:val="single" w:color="auto" w:sz="4" w:space="0"/>
              <w:right w:val="single" w:color="auto" w:sz="4" w:space="0"/>
            </w:tcBorders>
            <w:vAlign w:val="center"/>
          </w:tcPr>
          <w:p>
            <w:pPr>
              <w:numPr>
                <w:ilvl w:val="0"/>
                <w:numId w:val="3"/>
              </w:num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根据现场形象进度，确定进度工程量，完成进度款计价文件的编制；</w:t>
            </w:r>
          </w:p>
          <w:p>
            <w:pPr>
              <w:numPr>
                <w:ilvl w:val="0"/>
                <w:numId w:val="3"/>
              </w:num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根据施工合同的约定进行进度款的申报及审核。</w:t>
            </w:r>
          </w:p>
        </w:tc>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现场教学、上机实操</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施工签证费用管理</w:t>
            </w:r>
          </w:p>
        </w:tc>
        <w:tc>
          <w:tcPr>
            <w:tcW w:w="4997" w:type="dxa"/>
            <w:tcBorders>
              <w:top w:val="single" w:color="auto" w:sz="4" w:space="0"/>
              <w:left w:val="single" w:color="auto" w:sz="4" w:space="0"/>
              <w:bottom w:val="single" w:color="auto" w:sz="4" w:space="0"/>
              <w:right w:val="single" w:color="auto" w:sz="4" w:space="0"/>
            </w:tcBorders>
            <w:vAlign w:val="center"/>
          </w:tcPr>
          <w:p>
            <w:pPr>
              <w:numPr>
                <w:ilvl w:val="0"/>
                <w:numId w:val="4"/>
              </w:num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分析施工签证内容；</w:t>
            </w:r>
          </w:p>
          <w:p>
            <w:pPr>
              <w:numPr>
                <w:ilvl w:val="0"/>
                <w:numId w:val="4"/>
              </w:num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根据施工签证单内容进行计价；</w:t>
            </w:r>
          </w:p>
          <w:p>
            <w:pPr>
              <w:numPr>
                <w:ilvl w:val="0"/>
                <w:numId w:val="4"/>
              </w:num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依据施工合同、相关认证资料、利用计价软件完成签证费用的认定及审核</w:t>
            </w:r>
          </w:p>
        </w:tc>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现场教学、</w:t>
            </w:r>
          </w:p>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上机实操</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工程索赔费用管理</w:t>
            </w:r>
          </w:p>
        </w:tc>
        <w:tc>
          <w:tcPr>
            <w:tcW w:w="49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1.应用相关软件进行合同外索赔工程量计算（审核），确定合同外索赔工程量；</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2.能够应用相关软件编制（审核）合同外索赔清单综合单价、材料设备单价、税费计取等造价相关内容，形成合同外索赔造价。</w:t>
            </w:r>
          </w:p>
        </w:tc>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现场教学、</w:t>
            </w:r>
          </w:p>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上机实操</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结算计量计价原则确认</w:t>
            </w:r>
          </w:p>
        </w:tc>
        <w:tc>
          <w:tcPr>
            <w:tcW w:w="49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1、应用相关软件进行结算工程量计算（审核），确定合同内（外）结算工程量；</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2.应用相关软件编制（审核）结算清单综合单价、材料设备单价、税费计取等造价相关内容，形成合同内（外）结算造价；</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3.应用相关软件完成相应的价差调2整。</w:t>
            </w:r>
          </w:p>
        </w:tc>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现场教学、</w:t>
            </w:r>
          </w:p>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上机实操</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造价报告编制</w:t>
            </w:r>
          </w:p>
        </w:tc>
        <w:tc>
          <w:tcPr>
            <w:tcW w:w="49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1.能对工程量及价格进行分析；</w:t>
            </w:r>
          </w:p>
          <w:p>
            <w:pPr>
              <w:adjustRightInd w:val="0"/>
              <w:snapToGrid w:val="0"/>
              <w:spacing w:line="200" w:lineRule="atLeast"/>
              <w:jc w:val="left"/>
              <w:rPr>
                <w:rFonts w:ascii="仿宋" w:hAnsi="仿宋" w:eastAsia="仿宋" w:cs="仿宋"/>
                <w:color w:val="FF0000"/>
              </w:rPr>
            </w:pPr>
            <w:r>
              <w:rPr>
                <w:rFonts w:hint="eastAsia" w:ascii="仿宋" w:hAnsi="仿宋" w:eastAsia="仿宋" w:cs="仿宋"/>
                <w:color w:val="FF0000"/>
              </w:rPr>
              <w:t>2.能对各类报告进行编制与审核。</w:t>
            </w:r>
          </w:p>
        </w:tc>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现场教学、</w:t>
            </w:r>
          </w:p>
          <w:p>
            <w:pPr>
              <w:adjustRightInd w:val="0"/>
              <w:snapToGrid w:val="0"/>
              <w:spacing w:line="200" w:lineRule="atLeast"/>
              <w:rPr>
                <w:rFonts w:ascii="仿宋" w:hAnsi="仿宋" w:eastAsia="仿宋" w:cs="仿宋"/>
                <w:color w:val="FF0000"/>
              </w:rPr>
            </w:pPr>
            <w:r>
              <w:rPr>
                <w:rFonts w:hint="eastAsia" w:ascii="仿宋" w:hAnsi="仿宋" w:eastAsia="仿宋" w:cs="仿宋"/>
                <w:color w:val="FF0000"/>
              </w:rPr>
              <w:t>上机实操</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人才培养方案</w:t>
            </w:r>
          </w:p>
        </w:tc>
        <w:tc>
          <w:tcPr>
            <w:tcW w:w="49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ind w:firstLine="23" w:firstLineChars="11"/>
              <w:rPr>
                <w:rFonts w:ascii="仿宋" w:hAnsi="仿宋" w:eastAsia="仿宋" w:cs="仿宋"/>
                <w:color w:val="FF0000"/>
              </w:rPr>
            </w:pPr>
            <w:r>
              <w:rPr>
                <w:rFonts w:hint="eastAsia" w:ascii="仿宋" w:hAnsi="仿宋" w:eastAsia="仿宋" w:cs="仿宋"/>
                <w:color w:val="FF0000"/>
              </w:rPr>
              <w:t>1.课证融通讲解</w:t>
            </w:r>
          </w:p>
          <w:p>
            <w:pPr>
              <w:adjustRightInd w:val="0"/>
              <w:snapToGrid w:val="0"/>
              <w:spacing w:line="200" w:lineRule="atLeast"/>
              <w:ind w:firstLine="23" w:firstLineChars="11"/>
              <w:rPr>
                <w:rFonts w:ascii="仿宋" w:hAnsi="仿宋" w:eastAsia="仿宋" w:cs="仿宋"/>
                <w:color w:val="FF0000"/>
              </w:rPr>
            </w:pPr>
            <w:r>
              <w:rPr>
                <w:rFonts w:hint="eastAsia" w:ascii="仿宋" w:hAnsi="仿宋" w:eastAsia="仿宋" w:cs="仿宋"/>
                <w:color w:val="FF0000"/>
              </w:rPr>
              <w:t>2.讨论《“1+X”工程造价数字化应用职业技能等级证书》人才培养方案</w:t>
            </w:r>
          </w:p>
        </w:tc>
        <w:tc>
          <w:tcPr>
            <w:tcW w:w="12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讲座、讨论</w:t>
            </w:r>
          </w:p>
        </w:tc>
        <w:tc>
          <w:tcPr>
            <w:tcW w:w="12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atLeast"/>
              <w:jc w:val="center"/>
              <w:rPr>
                <w:rFonts w:ascii="仿宋" w:hAnsi="仿宋" w:eastAsia="仿宋" w:cs="仿宋"/>
                <w:color w:val="FF0000"/>
              </w:rPr>
            </w:pPr>
            <w:r>
              <w:rPr>
                <w:rFonts w:hint="eastAsia" w:ascii="仿宋" w:hAnsi="仿宋" w:eastAsia="仿宋" w:cs="仿宋"/>
                <w:color w:val="FF0000"/>
              </w:rPr>
              <w:t>2</w:t>
            </w:r>
          </w:p>
        </w:tc>
      </w:tr>
    </w:tbl>
    <w:p>
      <w:pPr>
        <w:spacing w:line="480" w:lineRule="exact"/>
        <w:ind w:firstLine="640" w:firstLineChars="200"/>
        <w:rPr>
          <w:rFonts w:hint="eastAsia" w:ascii="楷体_GB2312" w:hAnsi="Times New Roman" w:eastAsia="楷体_GB2312" w:cs="Times New Roman"/>
          <w:color w:val="FF0000"/>
          <w:sz w:val="32"/>
          <w:lang w:val="en-US" w:eastAsia="zh-CN"/>
        </w:rPr>
      </w:pPr>
    </w:p>
    <w:p>
      <w:pPr>
        <w:spacing w:line="480" w:lineRule="exact"/>
        <w:ind w:firstLine="480" w:firstLineChars="200"/>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3）</w:t>
      </w:r>
      <w:r>
        <w:rPr>
          <w:rFonts w:hint="eastAsia" w:cs="宋体" w:asciiTheme="majorEastAsia" w:hAnsiTheme="majorEastAsia" w:eastAsiaTheme="majorEastAsia"/>
          <w:color w:val="000000" w:themeColor="text1"/>
          <w:sz w:val="24"/>
          <w:szCs w:val="24"/>
          <w14:textFill>
            <w14:solidFill>
              <w14:schemeClr w14:val="tx1"/>
            </w14:solidFill>
          </w14:textFill>
        </w:rPr>
        <w:t>场地保障：</w:t>
      </w:r>
    </w:p>
    <w:p>
      <w:pPr>
        <w:spacing w:line="600" w:lineRule="exact"/>
        <w:rPr>
          <w:rFonts w:hint="default"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工程造价数字化应用职业技能等级证书试点院校实训条件建设要求：</w:t>
      </w:r>
    </w:p>
    <w:tbl>
      <w:tblPr>
        <w:tblStyle w:val="8"/>
        <w:tblW w:w="9041" w:type="dxa"/>
        <w:tblCellSpacing w:w="0" w:type="dxa"/>
        <w:tblInd w:w="10" w:type="dxa"/>
        <w:shd w:val="clear" w:color="auto" w:fill="auto"/>
        <w:tblLayout w:type="autofit"/>
        <w:tblCellMar>
          <w:top w:w="0" w:type="dxa"/>
          <w:left w:w="0" w:type="dxa"/>
          <w:bottom w:w="0" w:type="dxa"/>
          <w:right w:w="0" w:type="dxa"/>
        </w:tblCellMar>
      </w:tblPr>
      <w:tblGrid>
        <w:gridCol w:w="734"/>
        <w:gridCol w:w="1047"/>
        <w:gridCol w:w="5810"/>
        <w:gridCol w:w="1450"/>
      </w:tblGrid>
      <w:tr>
        <w:tblPrEx>
          <w:shd w:val="clear" w:color="auto" w:fill="auto"/>
          <w:tblCellMar>
            <w:top w:w="0" w:type="dxa"/>
            <w:left w:w="0" w:type="dxa"/>
            <w:bottom w:w="0" w:type="dxa"/>
            <w:right w:w="0" w:type="dxa"/>
          </w:tblCellMar>
        </w:tblPrEx>
        <w:trPr>
          <w:trHeight w:val="456" w:hRule="atLeast"/>
          <w:tblCellSpacing w:w="0" w:type="dxa"/>
        </w:trPr>
        <w:tc>
          <w:tcPr>
            <w:tcW w:w="734" w:type="dxa"/>
            <w:tcBorders>
              <w:top w:val="single" w:color="D9D9D9" w:sz="4" w:space="0"/>
              <w:left w:val="single" w:color="D9D9D9" w:sz="4" w:space="0"/>
              <w:bottom w:val="single" w:color="D9D9D9" w:sz="4" w:space="0"/>
              <w:right w:val="single" w:color="D9D9D9" w:sz="4" w:space="0"/>
            </w:tcBorders>
            <w:shd w:val="clear" w:color="auto" w:fill="auto"/>
            <w:tcMar>
              <w:top w:w="232" w:type="dxa"/>
            </w:tcMar>
            <w:vAlign w:val="top"/>
          </w:tcPr>
          <w:p>
            <w:pPr>
              <w:pStyle w:val="7"/>
              <w:keepNext w:val="0"/>
              <w:keepLines w:val="0"/>
              <w:widowControl/>
              <w:suppressLineNumbers w:val="0"/>
              <w:jc w:val="left"/>
              <w:rPr>
                <w:rFonts w:hint="eastAsia" w:ascii="微软雅黑" w:hAnsi="微软雅黑" w:eastAsia="微软雅黑" w:cs="微软雅黑"/>
                <w:color w:val="FF0000"/>
                <w:sz w:val="24"/>
                <w:szCs w:val="24"/>
              </w:rPr>
            </w:pPr>
            <w:r>
              <w:rPr>
                <w:rFonts w:hint="eastAsia" w:ascii="微软雅黑" w:hAnsi="微软雅黑" w:eastAsia="微软雅黑" w:cs="微软雅黑"/>
                <w:color w:val="FF0000"/>
                <w:sz w:val="24"/>
                <w:szCs w:val="24"/>
              </w:rPr>
              <w:t>序号</w:t>
            </w:r>
          </w:p>
        </w:tc>
        <w:tc>
          <w:tcPr>
            <w:tcW w:w="1047" w:type="dxa"/>
            <w:tcBorders>
              <w:top w:val="single" w:color="D9D9D9" w:sz="4" w:space="0"/>
              <w:left w:val="single" w:color="D9D9D9" w:sz="4" w:space="0"/>
              <w:bottom w:val="single" w:color="D9D9D9" w:sz="4" w:space="0"/>
              <w:right w:val="single" w:color="D9D9D9" w:sz="4" w:space="0"/>
            </w:tcBorders>
            <w:shd w:val="clear" w:color="auto" w:fill="auto"/>
            <w:tcMar>
              <w:top w:w="232" w:type="dxa"/>
            </w:tcMar>
            <w:vAlign w:val="top"/>
          </w:tcPr>
          <w:p>
            <w:pPr>
              <w:pStyle w:val="7"/>
              <w:keepNext w:val="0"/>
              <w:keepLines w:val="0"/>
              <w:widowControl/>
              <w:suppressLineNumbers w:val="0"/>
              <w:jc w:val="left"/>
              <w:rPr>
                <w:rFonts w:hint="eastAsia" w:ascii="微软雅黑" w:hAnsi="微软雅黑" w:eastAsia="微软雅黑" w:cs="微软雅黑"/>
                <w:color w:val="FF0000"/>
                <w:sz w:val="24"/>
                <w:szCs w:val="24"/>
              </w:rPr>
            </w:pPr>
            <w:r>
              <w:rPr>
                <w:rFonts w:hint="eastAsia" w:ascii="微软雅黑" w:hAnsi="微软雅黑" w:eastAsia="微软雅黑" w:cs="微软雅黑"/>
                <w:color w:val="FF0000"/>
                <w:sz w:val="24"/>
                <w:szCs w:val="24"/>
              </w:rPr>
              <w:t>产品名称</w:t>
            </w:r>
          </w:p>
        </w:tc>
        <w:tc>
          <w:tcPr>
            <w:tcW w:w="5810" w:type="dxa"/>
            <w:tcBorders>
              <w:top w:val="single" w:color="D9D9D9" w:sz="4" w:space="0"/>
              <w:left w:val="single" w:color="D9D9D9" w:sz="4" w:space="0"/>
              <w:bottom w:val="single" w:color="D9D9D9" w:sz="4" w:space="0"/>
              <w:right w:val="single" w:color="D9D9D9" w:sz="4" w:space="0"/>
            </w:tcBorders>
            <w:shd w:val="clear" w:color="auto" w:fill="auto"/>
            <w:tcMar>
              <w:top w:w="232" w:type="dxa"/>
            </w:tcMar>
            <w:vAlign w:val="top"/>
          </w:tcPr>
          <w:p>
            <w:pPr>
              <w:pStyle w:val="7"/>
              <w:keepNext w:val="0"/>
              <w:keepLines w:val="0"/>
              <w:widowControl/>
              <w:suppressLineNumbers w:val="0"/>
              <w:jc w:val="left"/>
              <w:rPr>
                <w:rFonts w:hint="eastAsia" w:ascii="微软雅黑" w:hAnsi="微软雅黑" w:eastAsia="微软雅黑" w:cs="微软雅黑"/>
                <w:color w:val="FF0000"/>
                <w:sz w:val="24"/>
                <w:szCs w:val="24"/>
              </w:rPr>
            </w:pPr>
            <w:r>
              <w:rPr>
                <w:rFonts w:hint="eastAsia" w:ascii="微软雅黑" w:hAnsi="微软雅黑" w:eastAsia="微软雅黑" w:cs="微软雅黑"/>
                <w:color w:val="FF0000"/>
                <w:sz w:val="24"/>
                <w:szCs w:val="24"/>
              </w:rPr>
              <w:t>主要功能</w:t>
            </w:r>
          </w:p>
        </w:tc>
        <w:tc>
          <w:tcPr>
            <w:tcW w:w="1450" w:type="dxa"/>
            <w:tcBorders>
              <w:top w:val="single" w:color="D9D9D9" w:sz="4" w:space="0"/>
              <w:left w:val="single" w:color="D9D9D9" w:sz="4" w:space="0"/>
              <w:bottom w:val="single" w:color="D9D9D9" w:sz="4" w:space="0"/>
              <w:right w:val="single" w:color="D9D9D9" w:sz="4" w:space="0"/>
            </w:tcBorders>
            <w:shd w:val="clear" w:color="auto" w:fill="auto"/>
            <w:tcMar>
              <w:top w:w="232" w:type="dxa"/>
            </w:tcMar>
            <w:vAlign w:val="top"/>
          </w:tcPr>
          <w:p>
            <w:pPr>
              <w:pStyle w:val="7"/>
              <w:keepNext w:val="0"/>
              <w:keepLines w:val="0"/>
              <w:widowControl/>
              <w:suppressLineNumbers w:val="0"/>
              <w:jc w:val="left"/>
              <w:rPr>
                <w:rFonts w:hint="eastAsia" w:ascii="微软雅黑" w:hAnsi="微软雅黑" w:eastAsia="微软雅黑" w:cs="微软雅黑"/>
                <w:color w:val="FF0000"/>
                <w:sz w:val="24"/>
                <w:szCs w:val="24"/>
              </w:rPr>
            </w:pPr>
            <w:r>
              <w:rPr>
                <w:rFonts w:hint="eastAsia" w:ascii="微软雅黑" w:hAnsi="微软雅黑" w:eastAsia="微软雅黑" w:cs="微软雅黑"/>
                <w:color w:val="FF0000"/>
                <w:sz w:val="24"/>
                <w:szCs w:val="24"/>
              </w:rPr>
              <w:t>数量</w:t>
            </w:r>
          </w:p>
        </w:tc>
      </w:tr>
      <w:tr>
        <w:tblPrEx>
          <w:shd w:val="clear" w:color="auto" w:fill="auto"/>
          <w:tblCellMar>
            <w:top w:w="0" w:type="dxa"/>
            <w:left w:w="0" w:type="dxa"/>
            <w:bottom w:w="0" w:type="dxa"/>
            <w:right w:w="0" w:type="dxa"/>
          </w:tblCellMar>
        </w:tblPrEx>
        <w:trPr>
          <w:trHeight w:val="608" w:hRule="atLeast"/>
          <w:tblCellSpacing w:w="0" w:type="dxa"/>
        </w:trPr>
        <w:tc>
          <w:tcPr>
            <w:tcW w:w="734" w:type="dxa"/>
            <w:tcBorders>
              <w:top w:val="single" w:color="D9D9D9" w:sz="4" w:space="0"/>
              <w:left w:val="single" w:color="D9D9D9" w:sz="4" w:space="0"/>
              <w:bottom w:val="single" w:color="D9D9D9" w:sz="4" w:space="0"/>
              <w:right w:val="single" w:color="D9D9D9" w:sz="4" w:space="0"/>
            </w:tcBorders>
            <w:shd w:val="clear" w:color="auto" w:fill="auto"/>
            <w:tcMar>
              <w:top w:w="192"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1</w:t>
            </w:r>
          </w:p>
        </w:tc>
        <w:tc>
          <w:tcPr>
            <w:tcW w:w="1047" w:type="dxa"/>
            <w:tcBorders>
              <w:top w:val="single" w:color="D9D9D9" w:sz="4" w:space="0"/>
              <w:left w:val="single" w:color="D9D9D9" w:sz="4" w:space="0"/>
              <w:bottom w:val="single" w:color="D9D9D9" w:sz="4" w:space="0"/>
              <w:right w:val="single" w:color="D9D9D9" w:sz="4" w:space="0"/>
            </w:tcBorders>
            <w:shd w:val="clear" w:color="auto" w:fill="auto"/>
            <w:tcMar>
              <w:top w:w="192"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实训室</w:t>
            </w:r>
          </w:p>
        </w:tc>
        <w:tc>
          <w:tcPr>
            <w:tcW w:w="5810" w:type="dxa"/>
            <w:tcBorders>
              <w:top w:val="single" w:color="D9D9D9" w:sz="4" w:space="0"/>
              <w:left w:val="single" w:color="D9D9D9" w:sz="4" w:space="0"/>
              <w:bottom w:val="single" w:color="D9D9D9" w:sz="4" w:space="0"/>
              <w:right w:val="single" w:color="D9D9D9" w:sz="4" w:space="0"/>
            </w:tcBorders>
            <w:shd w:val="clear" w:color="auto" w:fill="auto"/>
            <w:tcMar>
              <w:top w:w="192"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可容纳50 - 100 人， 人均占地面积不少于2 平方米</w:t>
            </w:r>
          </w:p>
        </w:tc>
        <w:tc>
          <w:tcPr>
            <w:tcW w:w="1450" w:type="dxa"/>
            <w:tcBorders>
              <w:top w:val="single" w:color="D9D9D9" w:sz="4" w:space="0"/>
              <w:left w:val="single" w:color="D9D9D9" w:sz="4" w:space="0"/>
              <w:bottom w:val="single" w:color="D9D9D9" w:sz="4" w:space="0"/>
              <w:right w:val="single" w:color="D9D9D9" w:sz="4" w:space="0"/>
            </w:tcBorders>
            <w:shd w:val="clear" w:color="auto" w:fill="auto"/>
            <w:tcMar>
              <w:top w:w="192"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 1 个</w:t>
            </w:r>
          </w:p>
        </w:tc>
      </w:tr>
      <w:tr>
        <w:tblPrEx>
          <w:tblCellMar>
            <w:top w:w="0" w:type="dxa"/>
            <w:left w:w="0" w:type="dxa"/>
            <w:bottom w:w="0" w:type="dxa"/>
            <w:right w:w="0" w:type="dxa"/>
          </w:tblCellMar>
        </w:tblPrEx>
        <w:trPr>
          <w:trHeight w:val="4771" w:hRule="atLeast"/>
          <w:tblCellSpacing w:w="0" w:type="dxa"/>
        </w:trPr>
        <w:tc>
          <w:tcPr>
            <w:tcW w:w="734" w:type="dxa"/>
            <w:tcBorders>
              <w:top w:val="single" w:color="D9D9D9" w:sz="4" w:space="0"/>
              <w:left w:val="single" w:color="D9D9D9" w:sz="4" w:space="0"/>
              <w:bottom w:val="single" w:color="D9D9D9" w:sz="4" w:space="0"/>
              <w:right w:val="single" w:color="D9D9D9" w:sz="4" w:space="0"/>
            </w:tcBorders>
            <w:shd w:val="clear" w:color="auto" w:fill="auto"/>
            <w:tcMar>
              <w:top w:w="10" w:type="dxa"/>
            </w:tcMar>
            <w:vAlign w:val="top"/>
          </w:tcPr>
          <w:p>
            <w:pPr>
              <w:pStyle w:val="7"/>
              <w:keepNext w:val="0"/>
              <w:keepLines w:val="0"/>
              <w:widowControl/>
              <w:suppressLineNumbers w:val="0"/>
              <w:rPr>
                <w:color w:val="FF0000"/>
              </w:rPr>
            </w:pPr>
          </w:p>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2</w:t>
            </w:r>
          </w:p>
        </w:tc>
        <w:tc>
          <w:tcPr>
            <w:tcW w:w="1047" w:type="dxa"/>
            <w:tcBorders>
              <w:top w:val="single" w:color="D9D9D9" w:sz="4" w:space="0"/>
              <w:left w:val="single" w:color="D9D9D9" w:sz="4" w:space="0"/>
              <w:bottom w:val="single" w:color="D9D9D9" w:sz="4" w:space="0"/>
              <w:right w:val="single" w:color="D9D9D9" w:sz="4" w:space="0"/>
            </w:tcBorders>
            <w:shd w:val="clear" w:color="auto" w:fill="auto"/>
            <w:tcMar>
              <w:top w:w="10" w:type="dxa"/>
            </w:tcMar>
            <w:vAlign w:val="top"/>
          </w:tcPr>
          <w:p>
            <w:pPr>
              <w:pStyle w:val="7"/>
              <w:keepNext w:val="0"/>
              <w:keepLines w:val="0"/>
              <w:widowControl/>
              <w:suppressLineNumbers w:val="0"/>
              <w:rPr>
                <w:color w:val="FF0000"/>
              </w:rPr>
            </w:pPr>
          </w:p>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学生台式计算 机</w:t>
            </w:r>
          </w:p>
        </w:tc>
        <w:tc>
          <w:tcPr>
            <w:tcW w:w="5810" w:type="dxa"/>
            <w:tcBorders>
              <w:top w:val="single" w:color="D9D9D9" w:sz="4" w:space="0"/>
              <w:left w:val="single" w:color="D9D9D9" w:sz="4" w:space="0"/>
              <w:bottom w:val="single" w:color="D9D9D9" w:sz="4" w:space="0"/>
              <w:right w:val="single" w:color="D9D9D9" w:sz="4" w:space="0"/>
            </w:tcBorders>
            <w:shd w:val="clear" w:color="auto" w:fill="auto"/>
            <w:tcMar>
              <w:top w:w="206"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高性能台式计算机（ 参考配置： 系统： 64 位 Window 7 旗舰版， CPU：</w:t>
            </w:r>
          </w:p>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Intel( R) Core( TM) i 5 - 7500 3 . 40 GHz； 显卡： NVIDIA GTX 1050 Ti， 4 G独显； 内存： 16 G  DDR 4 2400 Mhz； 硬盘： 120 GB( SSD) + 1 TB( 7200 转)； 显示器： 分辨率1920 * 1200 ）</w:t>
            </w:r>
          </w:p>
        </w:tc>
        <w:tc>
          <w:tcPr>
            <w:tcW w:w="1450" w:type="dxa"/>
            <w:tcBorders>
              <w:top w:val="single" w:color="D9D9D9" w:sz="4" w:space="0"/>
              <w:left w:val="single" w:color="D9D9D9" w:sz="4" w:space="0"/>
              <w:bottom w:val="single" w:color="D9D9D9" w:sz="4" w:space="0"/>
              <w:right w:val="single" w:color="D9D9D9" w:sz="4" w:space="0"/>
            </w:tcBorders>
            <w:shd w:val="clear" w:color="auto" w:fill="auto"/>
            <w:tcMar>
              <w:top w:w="10" w:type="dxa"/>
            </w:tcMar>
            <w:vAlign w:val="top"/>
          </w:tcPr>
          <w:p>
            <w:pPr>
              <w:pStyle w:val="7"/>
              <w:keepNext w:val="0"/>
              <w:keepLines w:val="0"/>
              <w:widowControl/>
              <w:suppressLineNumbers w:val="0"/>
              <w:rPr>
                <w:color w:val="FF0000"/>
              </w:rPr>
            </w:pPr>
          </w:p>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 50 台/ 单教室</w:t>
            </w:r>
          </w:p>
        </w:tc>
      </w:tr>
      <w:tr>
        <w:tblPrEx>
          <w:tblCellMar>
            <w:top w:w="0" w:type="dxa"/>
            <w:left w:w="0" w:type="dxa"/>
            <w:bottom w:w="0" w:type="dxa"/>
            <w:right w:w="0" w:type="dxa"/>
          </w:tblCellMar>
        </w:tblPrEx>
        <w:trPr>
          <w:trHeight w:val="1364" w:hRule="atLeast"/>
          <w:tblCellSpacing w:w="0" w:type="dxa"/>
        </w:trPr>
        <w:tc>
          <w:tcPr>
            <w:tcW w:w="734" w:type="dxa"/>
            <w:tcBorders>
              <w:top w:val="single" w:color="D9D9D9" w:sz="4" w:space="0"/>
              <w:left w:val="single" w:color="D9D9D9" w:sz="4" w:space="0"/>
              <w:bottom w:val="single" w:color="D9D9D9" w:sz="4" w:space="0"/>
              <w:right w:val="single" w:color="D9D9D9" w:sz="4" w:space="0"/>
            </w:tcBorders>
            <w:shd w:val="clear" w:color="auto" w:fill="auto"/>
            <w:tcMar>
              <w:top w:w="192"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3</w:t>
            </w:r>
          </w:p>
        </w:tc>
        <w:tc>
          <w:tcPr>
            <w:tcW w:w="1047" w:type="dxa"/>
            <w:tcBorders>
              <w:top w:val="single" w:color="D9D9D9" w:sz="4" w:space="0"/>
              <w:left w:val="single" w:color="D9D9D9" w:sz="4" w:space="0"/>
              <w:bottom w:val="single" w:color="D9D9D9" w:sz="4" w:space="0"/>
              <w:right w:val="single" w:color="D9D9D9" w:sz="4" w:space="0"/>
            </w:tcBorders>
            <w:shd w:val="clear" w:color="auto" w:fill="auto"/>
            <w:tcMar>
              <w:top w:w="192"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多媒体设备</w:t>
            </w:r>
          </w:p>
        </w:tc>
        <w:tc>
          <w:tcPr>
            <w:tcW w:w="5810" w:type="dxa"/>
            <w:tcBorders>
              <w:top w:val="single" w:color="D9D9D9" w:sz="4" w:space="0"/>
              <w:left w:val="single" w:color="D9D9D9" w:sz="4" w:space="0"/>
              <w:bottom w:val="single" w:color="D9D9D9" w:sz="4" w:space="0"/>
              <w:right w:val="single" w:color="D9D9D9" w:sz="4" w:space="0"/>
            </w:tcBorders>
            <w:shd w:val="clear" w:color="auto" w:fill="auto"/>
            <w:tcMar>
              <w:top w:w="192"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投影机（ 含幕布）、中控台、中控一体机、音响、话筒</w:t>
            </w:r>
          </w:p>
        </w:tc>
        <w:tc>
          <w:tcPr>
            <w:tcW w:w="1450" w:type="dxa"/>
            <w:tcBorders>
              <w:top w:val="single" w:color="D9D9D9" w:sz="4" w:space="0"/>
              <w:left w:val="single" w:color="D9D9D9" w:sz="4" w:space="0"/>
              <w:bottom w:val="single" w:color="D9D9D9" w:sz="4" w:space="0"/>
              <w:right w:val="single" w:color="D9D9D9" w:sz="4" w:space="0"/>
            </w:tcBorders>
            <w:shd w:val="clear" w:color="auto" w:fill="auto"/>
            <w:tcMar>
              <w:top w:w="192"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1 套/ 单教室</w:t>
            </w:r>
          </w:p>
        </w:tc>
      </w:tr>
      <w:tr>
        <w:tblPrEx>
          <w:tblCellMar>
            <w:top w:w="0" w:type="dxa"/>
            <w:left w:w="0" w:type="dxa"/>
            <w:bottom w:w="0" w:type="dxa"/>
            <w:right w:w="0" w:type="dxa"/>
          </w:tblCellMar>
        </w:tblPrEx>
        <w:trPr>
          <w:trHeight w:val="1574" w:hRule="atLeast"/>
          <w:tblCellSpacing w:w="0" w:type="dxa"/>
        </w:trPr>
        <w:tc>
          <w:tcPr>
            <w:tcW w:w="734" w:type="dxa"/>
            <w:tcBorders>
              <w:top w:val="single" w:color="D9D9D9" w:sz="4" w:space="0"/>
              <w:left w:val="single" w:color="D9D9D9" w:sz="4" w:space="0"/>
              <w:bottom w:val="single" w:color="D9D9D9" w:sz="4" w:space="0"/>
              <w:right w:val="single" w:color="D9D9D9" w:sz="4" w:space="0"/>
            </w:tcBorders>
            <w:shd w:val="clear" w:color="auto" w:fill="auto"/>
            <w:tcMar>
              <w:top w:w="7" w:type="dxa"/>
            </w:tcMar>
            <w:vAlign w:val="top"/>
          </w:tcPr>
          <w:p>
            <w:pPr>
              <w:pStyle w:val="7"/>
              <w:keepNext w:val="0"/>
              <w:keepLines w:val="0"/>
              <w:widowControl/>
              <w:suppressLineNumbers w:val="0"/>
              <w:rPr>
                <w:color w:val="FF0000"/>
              </w:rPr>
            </w:pPr>
          </w:p>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4</w:t>
            </w:r>
          </w:p>
        </w:tc>
        <w:tc>
          <w:tcPr>
            <w:tcW w:w="1047" w:type="dxa"/>
            <w:tcBorders>
              <w:top w:val="single" w:color="D9D9D9" w:sz="4" w:space="0"/>
              <w:left w:val="single" w:color="D9D9D9" w:sz="4" w:space="0"/>
              <w:bottom w:val="single" w:color="D9D9D9" w:sz="4" w:space="0"/>
              <w:right w:val="single" w:color="D9D9D9" w:sz="4" w:space="0"/>
            </w:tcBorders>
            <w:shd w:val="clear" w:color="auto" w:fill="auto"/>
            <w:tcMar>
              <w:top w:w="7" w:type="dxa"/>
            </w:tcMar>
            <w:vAlign w:val="top"/>
          </w:tcPr>
          <w:p>
            <w:pPr>
              <w:pStyle w:val="7"/>
              <w:keepNext w:val="0"/>
              <w:keepLines w:val="0"/>
              <w:widowControl/>
              <w:suppressLineNumbers w:val="0"/>
              <w:rPr>
                <w:color w:val="FF0000"/>
              </w:rPr>
            </w:pPr>
          </w:p>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网络设备设施</w:t>
            </w:r>
          </w:p>
        </w:tc>
        <w:tc>
          <w:tcPr>
            <w:tcW w:w="5810" w:type="dxa"/>
            <w:tcBorders>
              <w:top w:val="single" w:color="D9D9D9" w:sz="4" w:space="0"/>
              <w:left w:val="single" w:color="D9D9D9" w:sz="4" w:space="0"/>
              <w:bottom w:val="single" w:color="D9D9D9" w:sz="4" w:space="0"/>
              <w:right w:val="single" w:color="D9D9D9" w:sz="4" w:space="0"/>
            </w:tcBorders>
            <w:shd w:val="clear" w:color="auto" w:fill="auto"/>
            <w:tcMar>
              <w:top w:w="135"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具有自己的局域网络配置设施， 包括但不限于服务器、交换机等可访问互联网， 且满足同时  100 人在线上下行带宽不低于100 M</w:t>
            </w:r>
          </w:p>
        </w:tc>
        <w:tc>
          <w:tcPr>
            <w:tcW w:w="1450" w:type="dxa"/>
            <w:tcBorders>
              <w:top w:val="single" w:color="D9D9D9" w:sz="4" w:space="0"/>
              <w:left w:val="single" w:color="D9D9D9" w:sz="4" w:space="0"/>
              <w:bottom w:val="single" w:color="D9D9D9" w:sz="4" w:space="0"/>
              <w:right w:val="single" w:color="D9D9D9" w:sz="4" w:space="0"/>
            </w:tcBorders>
            <w:shd w:val="clear" w:color="auto" w:fill="auto"/>
            <w:tcMar>
              <w:top w:w="7" w:type="dxa"/>
            </w:tcMar>
            <w:vAlign w:val="top"/>
          </w:tcPr>
          <w:p>
            <w:pPr>
              <w:pStyle w:val="7"/>
              <w:keepNext w:val="0"/>
              <w:keepLines w:val="0"/>
              <w:widowControl/>
              <w:suppressLineNumbers w:val="0"/>
              <w:rPr>
                <w:color w:val="FF0000"/>
              </w:rPr>
            </w:pPr>
          </w:p>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1 套/ 单教室</w:t>
            </w:r>
          </w:p>
        </w:tc>
      </w:tr>
      <w:tr>
        <w:tblPrEx>
          <w:shd w:val="clear" w:color="auto" w:fill="auto"/>
          <w:tblCellMar>
            <w:top w:w="0" w:type="dxa"/>
            <w:left w:w="0" w:type="dxa"/>
            <w:bottom w:w="0" w:type="dxa"/>
            <w:right w:w="0" w:type="dxa"/>
          </w:tblCellMar>
        </w:tblPrEx>
        <w:trPr>
          <w:trHeight w:val="969" w:hRule="atLeast"/>
          <w:tblCellSpacing w:w="0" w:type="dxa"/>
        </w:trPr>
        <w:tc>
          <w:tcPr>
            <w:tcW w:w="734" w:type="dxa"/>
            <w:tcBorders>
              <w:top w:val="single" w:color="D9D9D9" w:sz="4" w:space="0"/>
              <w:left w:val="single" w:color="D9D9D9" w:sz="4" w:space="0"/>
              <w:bottom w:val="single" w:color="D9D9D9" w:sz="4" w:space="0"/>
              <w:right w:val="single" w:color="D9D9D9" w:sz="4" w:space="0"/>
            </w:tcBorders>
            <w:shd w:val="clear" w:color="auto" w:fill="auto"/>
            <w:tcMar>
              <w:top w:w="258"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5</w:t>
            </w:r>
          </w:p>
        </w:tc>
        <w:tc>
          <w:tcPr>
            <w:tcW w:w="1047" w:type="dxa"/>
            <w:tcBorders>
              <w:top w:val="single" w:color="D9D9D9" w:sz="4" w:space="0"/>
              <w:left w:val="single" w:color="D9D9D9" w:sz="4" w:space="0"/>
              <w:bottom w:val="single" w:color="D9D9D9" w:sz="4" w:space="0"/>
              <w:right w:val="single" w:color="D9D9D9" w:sz="4" w:space="0"/>
            </w:tcBorders>
            <w:shd w:val="clear" w:color="auto" w:fill="auto"/>
            <w:tcMar>
              <w:top w:w="258"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课桌椅</w:t>
            </w:r>
          </w:p>
        </w:tc>
        <w:tc>
          <w:tcPr>
            <w:tcW w:w="5810" w:type="dxa"/>
            <w:tcBorders>
              <w:top w:val="single" w:color="D9D9D9" w:sz="4" w:space="0"/>
              <w:left w:val="single" w:color="D9D9D9" w:sz="4" w:space="0"/>
              <w:bottom w:val="single" w:color="D9D9D9" w:sz="4" w:space="0"/>
              <w:right w:val="single" w:color="D9D9D9" w:sz="4" w:space="0"/>
            </w:tcBorders>
            <w:shd w:val="clear" w:color="auto" w:fill="auto"/>
            <w:tcMar>
              <w:top w:w="258"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桌子尺寸： 根据教室尺寸定制实训桌， 含配套椅子， 样式品牌不限</w:t>
            </w:r>
          </w:p>
        </w:tc>
        <w:tc>
          <w:tcPr>
            <w:tcW w:w="1450" w:type="dxa"/>
            <w:tcBorders>
              <w:top w:val="single" w:color="D9D9D9" w:sz="4" w:space="0"/>
              <w:left w:val="single" w:color="D9D9D9" w:sz="4" w:space="0"/>
              <w:bottom w:val="single" w:color="D9D9D9" w:sz="4" w:space="0"/>
              <w:right w:val="single" w:color="D9D9D9" w:sz="4" w:space="0"/>
            </w:tcBorders>
            <w:shd w:val="clear" w:color="auto" w:fill="auto"/>
            <w:tcMar>
              <w:top w:w="258"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随台式机数量</w:t>
            </w:r>
          </w:p>
        </w:tc>
      </w:tr>
      <w:tr>
        <w:tblPrEx>
          <w:shd w:val="clear" w:color="auto" w:fill="auto"/>
          <w:tblCellMar>
            <w:top w:w="0" w:type="dxa"/>
            <w:left w:w="0" w:type="dxa"/>
            <w:bottom w:w="0" w:type="dxa"/>
            <w:right w:w="0" w:type="dxa"/>
          </w:tblCellMar>
        </w:tblPrEx>
        <w:trPr>
          <w:trHeight w:val="2411" w:hRule="atLeast"/>
          <w:tblCellSpacing w:w="0" w:type="dxa"/>
        </w:trPr>
        <w:tc>
          <w:tcPr>
            <w:tcW w:w="734" w:type="dxa"/>
            <w:tcBorders>
              <w:top w:val="single" w:color="D9D9D9" w:sz="4" w:space="0"/>
              <w:left w:val="single" w:color="D9D9D9" w:sz="4" w:space="0"/>
              <w:bottom w:val="single" w:color="D9D9D9" w:sz="4" w:space="0"/>
              <w:right w:val="single" w:color="D9D9D9" w:sz="4" w:space="0"/>
            </w:tcBorders>
            <w:shd w:val="clear" w:color="auto" w:fill="auto"/>
            <w:tcMar>
              <w:top w:w="7" w:type="dxa"/>
            </w:tcMar>
            <w:vAlign w:val="top"/>
          </w:tcPr>
          <w:p>
            <w:pPr>
              <w:pStyle w:val="7"/>
              <w:keepNext w:val="0"/>
              <w:keepLines w:val="0"/>
              <w:widowControl/>
              <w:suppressLineNumbers w:val="0"/>
              <w:rPr>
                <w:color w:val="FF0000"/>
              </w:rPr>
            </w:pPr>
          </w:p>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6</w:t>
            </w:r>
          </w:p>
        </w:tc>
        <w:tc>
          <w:tcPr>
            <w:tcW w:w="1047" w:type="dxa"/>
            <w:tcBorders>
              <w:top w:val="single" w:color="D9D9D9" w:sz="4" w:space="0"/>
              <w:left w:val="single" w:color="D9D9D9" w:sz="4" w:space="0"/>
              <w:bottom w:val="single" w:color="D9D9D9" w:sz="4" w:space="0"/>
              <w:right w:val="single" w:color="D9D9D9" w:sz="4" w:space="0"/>
            </w:tcBorders>
            <w:shd w:val="clear" w:color="auto" w:fill="auto"/>
            <w:tcMar>
              <w:top w:w="135"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考试机用摄像 头</w:t>
            </w:r>
          </w:p>
        </w:tc>
        <w:tc>
          <w:tcPr>
            <w:tcW w:w="5810" w:type="dxa"/>
            <w:tcBorders>
              <w:top w:val="single" w:color="D9D9D9" w:sz="4" w:space="0"/>
              <w:left w:val="single" w:color="D9D9D9" w:sz="4" w:space="0"/>
              <w:bottom w:val="single" w:color="D9D9D9" w:sz="4" w:space="0"/>
              <w:right w:val="single" w:color="D9D9D9" w:sz="4" w:space="0"/>
            </w:tcBorders>
            <w:shd w:val="clear" w:color="auto" w:fill="auto"/>
            <w:tcMar>
              <w:top w:w="135"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参考配置： 类型： 高清台式机外置摄像头传感器类型： CMOS像素： 30 万- 99 万分辨率： 不低 于640 × 480 电缆长度： 建议140 cm， 能满足按要求使用即可</w:t>
            </w:r>
          </w:p>
        </w:tc>
        <w:tc>
          <w:tcPr>
            <w:tcW w:w="1450" w:type="dxa"/>
            <w:tcBorders>
              <w:top w:val="single" w:color="D9D9D9" w:sz="4" w:space="0"/>
              <w:left w:val="single" w:color="D9D9D9" w:sz="4" w:space="0"/>
              <w:bottom w:val="single" w:color="D9D9D9" w:sz="4" w:space="0"/>
              <w:right w:val="single" w:color="D9D9D9" w:sz="4" w:space="0"/>
            </w:tcBorders>
            <w:shd w:val="clear" w:color="auto" w:fill="auto"/>
            <w:tcMar>
              <w:top w:w="7" w:type="dxa"/>
            </w:tcMar>
            <w:vAlign w:val="top"/>
          </w:tcPr>
          <w:p>
            <w:pPr>
              <w:pStyle w:val="7"/>
              <w:keepNext w:val="0"/>
              <w:keepLines w:val="0"/>
              <w:widowControl/>
              <w:suppressLineNumbers w:val="0"/>
              <w:rPr>
                <w:color w:val="FF0000"/>
              </w:rPr>
            </w:pPr>
          </w:p>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随台式机数量</w:t>
            </w:r>
          </w:p>
        </w:tc>
      </w:tr>
      <w:tr>
        <w:tblPrEx>
          <w:shd w:val="clear" w:color="auto" w:fill="auto"/>
          <w:tblCellMar>
            <w:top w:w="0" w:type="dxa"/>
            <w:left w:w="0" w:type="dxa"/>
            <w:bottom w:w="0" w:type="dxa"/>
            <w:right w:w="0" w:type="dxa"/>
          </w:tblCellMar>
        </w:tblPrEx>
        <w:trPr>
          <w:trHeight w:val="2028" w:hRule="atLeast"/>
          <w:tblCellSpacing w:w="0" w:type="dxa"/>
        </w:trPr>
        <w:tc>
          <w:tcPr>
            <w:tcW w:w="734" w:type="dxa"/>
            <w:tcBorders>
              <w:top w:val="single" w:color="D9D9D9" w:sz="4" w:space="0"/>
              <w:left w:val="single" w:color="D9D9D9" w:sz="4" w:space="0"/>
              <w:bottom w:val="single" w:color="D9D9D9" w:sz="4" w:space="0"/>
              <w:right w:val="single" w:color="D9D9D9" w:sz="4" w:space="0"/>
            </w:tcBorders>
            <w:shd w:val="clear" w:color="auto" w:fill="auto"/>
            <w:tcMar>
              <w:top w:w="8" w:type="dxa"/>
            </w:tcMar>
            <w:vAlign w:val="top"/>
          </w:tcPr>
          <w:p>
            <w:pPr>
              <w:pStyle w:val="7"/>
              <w:keepNext w:val="0"/>
              <w:keepLines w:val="0"/>
              <w:widowControl/>
              <w:suppressLineNumbers w:val="0"/>
              <w:rPr>
                <w:color w:val="FF0000"/>
              </w:rPr>
            </w:pPr>
          </w:p>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7</w:t>
            </w:r>
          </w:p>
        </w:tc>
        <w:tc>
          <w:tcPr>
            <w:tcW w:w="1047" w:type="dxa"/>
            <w:tcBorders>
              <w:top w:val="single" w:color="D9D9D9" w:sz="4" w:space="0"/>
              <w:left w:val="single" w:color="D9D9D9" w:sz="4" w:space="0"/>
              <w:bottom w:val="single" w:color="D9D9D9" w:sz="4" w:space="0"/>
              <w:right w:val="single" w:color="D9D9D9" w:sz="4" w:space="0"/>
            </w:tcBorders>
            <w:shd w:val="clear" w:color="auto" w:fill="auto"/>
            <w:tcMar>
              <w:top w:w="8" w:type="dxa"/>
            </w:tcMar>
            <w:vAlign w:val="top"/>
          </w:tcPr>
          <w:p>
            <w:pPr>
              <w:pStyle w:val="7"/>
              <w:keepNext w:val="0"/>
              <w:keepLines w:val="0"/>
              <w:widowControl/>
              <w:suppressLineNumbers w:val="0"/>
              <w:rPr>
                <w:color w:val="FF0000"/>
              </w:rPr>
            </w:pPr>
          </w:p>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机房大摄像头</w:t>
            </w:r>
          </w:p>
        </w:tc>
        <w:tc>
          <w:tcPr>
            <w:tcW w:w="5810" w:type="dxa"/>
            <w:tcBorders>
              <w:top w:val="single" w:color="D9D9D9" w:sz="4" w:space="0"/>
              <w:left w:val="single" w:color="D9D9D9" w:sz="4" w:space="0"/>
              <w:bottom w:val="single" w:color="D9D9D9" w:sz="4" w:space="0"/>
              <w:right w:val="single" w:color="D9D9D9" w:sz="4" w:space="0"/>
            </w:tcBorders>
            <w:shd w:val="clear" w:color="auto" w:fill="auto"/>
            <w:tcMar>
              <w:top w:w="135"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参考配置： 类型： 球机监控像素： 300 w供电方式： 电源供电供网方式： 无线/ 有线均可语音类 型： 语音对讲适用面积： 80 - 200 ㎡焦距： 4 mm存储方式： 云端或本地存储变焦方式： 数字变 焦</w:t>
            </w:r>
          </w:p>
        </w:tc>
        <w:tc>
          <w:tcPr>
            <w:tcW w:w="1450" w:type="dxa"/>
            <w:tcBorders>
              <w:top w:val="single" w:color="D9D9D9" w:sz="4" w:space="0"/>
              <w:left w:val="single" w:color="D9D9D9" w:sz="4" w:space="0"/>
              <w:bottom w:val="single" w:color="D9D9D9" w:sz="4" w:space="0"/>
              <w:right w:val="single" w:color="D9D9D9" w:sz="4" w:space="0"/>
            </w:tcBorders>
            <w:shd w:val="clear" w:color="auto" w:fill="auto"/>
            <w:tcMar>
              <w:top w:w="8" w:type="dxa"/>
            </w:tcMar>
            <w:vAlign w:val="top"/>
          </w:tcPr>
          <w:p>
            <w:pPr>
              <w:pStyle w:val="7"/>
              <w:keepNext w:val="0"/>
              <w:keepLines w:val="0"/>
              <w:widowControl/>
              <w:suppressLineNumbers w:val="0"/>
              <w:rPr>
                <w:color w:val="FF0000"/>
              </w:rPr>
            </w:pPr>
          </w:p>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2 套/ 单教室</w:t>
            </w:r>
          </w:p>
        </w:tc>
      </w:tr>
      <w:tr>
        <w:tblPrEx>
          <w:shd w:val="clear" w:color="auto" w:fill="auto"/>
          <w:tblCellMar>
            <w:top w:w="0" w:type="dxa"/>
            <w:left w:w="0" w:type="dxa"/>
            <w:bottom w:w="0" w:type="dxa"/>
            <w:right w:w="0" w:type="dxa"/>
          </w:tblCellMar>
        </w:tblPrEx>
        <w:trPr>
          <w:trHeight w:val="1316" w:hRule="atLeast"/>
          <w:tblCellSpacing w:w="0" w:type="dxa"/>
        </w:trPr>
        <w:tc>
          <w:tcPr>
            <w:tcW w:w="734" w:type="dxa"/>
            <w:tcBorders>
              <w:top w:val="single" w:color="D9D9D9" w:sz="4" w:space="0"/>
              <w:left w:val="single" w:color="D9D9D9" w:sz="4" w:space="0"/>
              <w:bottom w:val="single" w:color="D9D9D9" w:sz="4" w:space="0"/>
              <w:right w:val="single" w:color="D9D9D9" w:sz="4" w:space="0"/>
            </w:tcBorders>
            <w:shd w:val="clear" w:color="auto" w:fill="auto"/>
            <w:tcMar>
              <w:top w:w="192"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8</w:t>
            </w:r>
          </w:p>
        </w:tc>
        <w:tc>
          <w:tcPr>
            <w:tcW w:w="1047" w:type="dxa"/>
            <w:tcBorders>
              <w:top w:val="single" w:color="D9D9D9" w:sz="4" w:space="0"/>
              <w:left w:val="single" w:color="D9D9D9" w:sz="4" w:space="0"/>
              <w:bottom w:val="single" w:color="D9D9D9" w:sz="4" w:space="0"/>
              <w:right w:val="single" w:color="D9D9D9" w:sz="4" w:space="0"/>
            </w:tcBorders>
            <w:shd w:val="clear" w:color="auto" w:fill="auto"/>
            <w:tcMar>
              <w:top w:w="192"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基础办公设施</w:t>
            </w:r>
          </w:p>
        </w:tc>
        <w:tc>
          <w:tcPr>
            <w:tcW w:w="5810" w:type="dxa"/>
            <w:tcBorders>
              <w:top w:val="single" w:color="D9D9D9" w:sz="4" w:space="0"/>
              <w:left w:val="single" w:color="D9D9D9" w:sz="4" w:space="0"/>
              <w:bottom w:val="single" w:color="D9D9D9" w:sz="4" w:space="0"/>
              <w:right w:val="single" w:color="D9D9D9" w:sz="4" w:space="0"/>
            </w:tcBorders>
            <w:shd w:val="clear" w:color="auto" w:fill="auto"/>
            <w:tcMar>
              <w:top w:w="192" w:type="dxa"/>
            </w:tcMar>
            <w:vAlign w:val="top"/>
          </w:tcPr>
          <w:p>
            <w:pPr>
              <w:pStyle w:val="7"/>
              <w:keepNext w:val="0"/>
              <w:keepLines w:val="0"/>
              <w:widowControl/>
              <w:suppressLineNumbers w:val="0"/>
              <w:spacing w:beforeAutospacing="0" w:afterAutospacing="0"/>
              <w:rPr>
                <w:color w:val="FF0000"/>
              </w:rPr>
            </w:pPr>
            <w:r>
              <w:rPr>
                <w:rFonts w:hint="eastAsia" w:ascii="微软雅黑" w:hAnsi="微软雅黑" w:eastAsia="微软雅黑" w:cs="微软雅黑"/>
                <w:color w:val="FF0000"/>
                <w:sz w:val="24"/>
                <w:szCs w:val="24"/>
              </w:rPr>
              <w:t>空调及其他文化布置等</w:t>
            </w:r>
          </w:p>
        </w:tc>
        <w:tc>
          <w:tcPr>
            <w:tcW w:w="1450" w:type="dxa"/>
            <w:tcBorders>
              <w:top w:val="single" w:color="D9D9D9" w:sz="4" w:space="0"/>
              <w:left w:val="single" w:color="D9D9D9" w:sz="4" w:space="0"/>
              <w:bottom w:val="single" w:color="D9D9D9" w:sz="4" w:space="0"/>
              <w:right w:val="single" w:color="D9D9D9" w:sz="4" w:space="0"/>
            </w:tcBorders>
            <w:shd w:val="clear" w:color="auto" w:fill="auto"/>
            <w:tcMar>
              <w:top w:w="192" w:type="dxa"/>
            </w:tcMar>
            <w:vAlign w:val="top"/>
          </w:tcPr>
          <w:p>
            <w:pPr>
              <w:pStyle w:val="7"/>
              <w:keepNext w:val="0"/>
              <w:keepLines w:val="0"/>
              <w:widowControl/>
              <w:suppressLineNumbers w:val="0"/>
              <w:rPr>
                <w:color w:val="FF0000"/>
              </w:rPr>
            </w:pPr>
            <w:r>
              <w:rPr>
                <w:rFonts w:hint="eastAsia" w:ascii="微软雅黑" w:hAnsi="微软雅黑" w:eastAsia="微软雅黑" w:cs="微软雅黑"/>
                <w:color w:val="FF0000"/>
                <w:sz w:val="24"/>
                <w:szCs w:val="24"/>
              </w:rPr>
              <w:t>1 组/ 单教室</w:t>
            </w:r>
          </w:p>
        </w:tc>
      </w:tr>
    </w:tbl>
    <w:p>
      <w:pPr>
        <w:spacing w:line="480" w:lineRule="exact"/>
        <w:ind w:firstLine="480" w:firstLineChars="200"/>
        <w:rPr>
          <w:rFonts w:hint="eastAsia" w:cs="宋体" w:asciiTheme="majorEastAsia" w:hAnsiTheme="majorEastAsia" w:eastAsiaTheme="majorEastAsia"/>
          <w:color w:val="000000" w:themeColor="text1"/>
          <w:sz w:val="24"/>
          <w:szCs w:val="24"/>
          <w14:textFill>
            <w14:solidFill>
              <w14:schemeClr w14:val="tx1"/>
            </w14:solidFill>
          </w14:textFill>
        </w:rPr>
      </w:pPr>
    </w:p>
    <w:p>
      <w:pPr>
        <w:spacing w:line="480" w:lineRule="exact"/>
        <w:ind w:firstLine="480" w:firstLineChars="200"/>
        <w:rPr>
          <w:rFonts w:hint="eastAsia" w:ascii="楷体_GB2312" w:hAnsi="Times New Roman" w:eastAsia="楷体_GB2312" w:cs="Times New Roman"/>
          <w:sz w:val="32"/>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4）经费保障：（请单独说明考核费用标准及分成、需要支付给评价组织的学生考核费用来源、预计投入资金规模；如需组织学生或教师培训、建设培训站点、建设考核站点，请说明经费来源和预计投入资金规模）</w:t>
      </w:r>
    </w:p>
    <w:p>
      <w:pPr>
        <w:pStyle w:val="3"/>
        <w:spacing w:line="401" w:lineRule="exact"/>
        <w:rPr>
          <w:rFonts w:hint="eastAsia" w:ascii="Times New Roman" w:hAnsi="Times New Roman" w:eastAsia="仿宋_GB2312" w:cs="Times New Roman"/>
          <w:color w:val="FF0000"/>
          <w:sz w:val="32"/>
          <w:lang w:val="en-US" w:eastAsia="zh-CN"/>
        </w:rPr>
      </w:pPr>
    </w:p>
    <w:p>
      <w:pPr>
        <w:pStyle w:val="3"/>
        <w:spacing w:line="401" w:lineRule="exact"/>
        <w:rPr>
          <w:rFonts w:hint="eastAsia"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工程造价数字化应用职业技能等级证书收费标准：</w:t>
      </w:r>
    </w:p>
    <w:p>
      <w:pPr>
        <w:pStyle w:val="3"/>
        <w:spacing w:line="401" w:lineRule="exact"/>
        <w:ind w:firstLine="640" w:firstLineChars="200"/>
        <w:rPr>
          <w:rFonts w:hint="eastAsia"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根据技能等级标准中不同职业技能等级的考核要求、不同等级职业技能的难度和两种类型考核分值所占比例确定不同等级的成本上限，职业技能三个等级的费用标准分别为：</w:t>
      </w:r>
    </w:p>
    <w:p>
      <w:pPr>
        <w:pStyle w:val="3"/>
        <w:spacing w:line="401" w:lineRule="exact"/>
        <w:ind w:left="1400"/>
        <w:rPr>
          <w:rFonts w:hint="eastAsia"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 xml:space="preserve">初级 265元/人•次； </w:t>
      </w:r>
    </w:p>
    <w:p>
      <w:pPr>
        <w:pStyle w:val="3"/>
        <w:spacing w:line="401" w:lineRule="exact"/>
        <w:ind w:left="1400"/>
        <w:rPr>
          <w:rFonts w:hint="eastAsia"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 xml:space="preserve">中级 265元/人•次； </w:t>
      </w:r>
    </w:p>
    <w:p>
      <w:pPr>
        <w:pStyle w:val="3"/>
        <w:spacing w:line="401" w:lineRule="exact"/>
        <w:ind w:left="1400"/>
        <w:rPr>
          <w:rFonts w:hint="eastAsia"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高级 265元/人•次。</w:t>
      </w:r>
    </w:p>
    <w:p>
      <w:pPr>
        <w:spacing w:line="480" w:lineRule="exact"/>
        <w:ind w:firstLine="640" w:firstLineChars="200"/>
        <w:rPr>
          <w:rFonts w:hint="eastAsia" w:ascii="楷体_GB2312" w:hAnsi="Times New Roman" w:eastAsia="楷体_GB2312" w:cs="Times New Roman"/>
          <w:sz w:val="32"/>
        </w:rPr>
      </w:pPr>
    </w:p>
    <w:p>
      <w:pPr>
        <w:spacing w:line="480" w:lineRule="exact"/>
        <w:ind w:firstLine="480" w:firstLineChars="200"/>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5）</w:t>
      </w:r>
      <w:r>
        <w:rPr>
          <w:rFonts w:hint="eastAsia" w:cs="宋体" w:asciiTheme="majorEastAsia" w:hAnsiTheme="majorEastAsia" w:eastAsiaTheme="majorEastAsia"/>
          <w:color w:val="000000" w:themeColor="text1"/>
          <w:sz w:val="24"/>
          <w:szCs w:val="24"/>
          <w14:textFill>
            <w14:solidFill>
              <w14:schemeClr w14:val="tx1"/>
            </w14:solidFill>
          </w14:textFill>
        </w:rPr>
        <w:t>经验保障：</w:t>
      </w:r>
    </w:p>
    <w:p>
      <w:pPr>
        <w:spacing w:line="360" w:lineRule="auto"/>
        <w:ind w:firstLine="482" w:firstLineChars="200"/>
        <w:rPr>
          <w:rFonts w:hint="eastAsia" w:ascii="仿宋_GB2312" w:hAnsi="Times New Roman" w:eastAsia="仿宋_GB2312" w:cs="Times New Roman"/>
          <w:b/>
          <w:bCs/>
          <w:sz w:val="24"/>
          <w:lang w:val="en-US" w:eastAsia="zh-CN"/>
        </w:rPr>
      </w:pPr>
      <w:r>
        <w:rPr>
          <w:rFonts w:hint="eastAsia" w:ascii="仿宋_GB2312" w:hAnsi="Times New Roman" w:eastAsia="仿宋_GB2312" w:cs="Times New Roman"/>
          <w:b/>
          <w:bCs/>
          <w:sz w:val="24"/>
          <w:lang w:val="en-US" w:eastAsia="zh-CN"/>
        </w:rPr>
        <w:t>（4</w:t>
      </w:r>
      <w:bookmarkStart w:id="1" w:name="_GoBack"/>
      <w:bookmarkEnd w:id="1"/>
      <w:r>
        <w:rPr>
          <w:rFonts w:hint="eastAsia" w:ascii="仿宋_GB2312" w:hAnsi="Times New Roman" w:eastAsia="仿宋_GB2312" w:cs="Times New Roman"/>
          <w:b/>
          <w:bCs/>
          <w:sz w:val="24"/>
        </w:rPr>
        <w:t>）</w:t>
      </w:r>
      <w:r>
        <w:rPr>
          <w:rFonts w:hint="eastAsia" w:ascii="仿宋_GB2312" w:hAnsi="Times New Roman" w:eastAsia="仿宋_GB2312" w:cs="Times New Roman"/>
          <w:b/>
          <w:bCs/>
          <w:sz w:val="24"/>
          <w:lang w:val="en-US" w:eastAsia="zh-CN"/>
        </w:rPr>
        <w:t>工作安排</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3"/>
        <w:gridCol w:w="5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3" w:type="dxa"/>
            <w:shd w:val="clear" w:color="auto" w:fill="D7D7D7" w:themeFill="background1" w:themeFillShade="D8"/>
          </w:tcPr>
          <w:p>
            <w:pPr>
              <w:spacing w:line="600" w:lineRule="exact"/>
              <w:rPr>
                <w:rFonts w:hint="default"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1+X 项目环节</w:t>
            </w:r>
          </w:p>
        </w:tc>
        <w:tc>
          <w:tcPr>
            <w:tcW w:w="5664" w:type="dxa"/>
            <w:shd w:val="clear" w:color="auto" w:fill="D7D7D7" w:themeFill="background1" w:themeFillShade="D8"/>
          </w:tcPr>
          <w:p>
            <w:pPr>
              <w:spacing w:line="600" w:lineRule="exact"/>
              <w:ind w:firstLine="640" w:firstLineChars="200"/>
              <w:rPr>
                <w:rFonts w:hint="default"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广联达项目推进时间安排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3" w:type="dxa"/>
          </w:tcPr>
          <w:p>
            <w:pPr>
              <w:spacing w:line="600" w:lineRule="exact"/>
              <w:rPr>
                <w:rFonts w:hint="default"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试点申报</w:t>
            </w:r>
          </w:p>
        </w:tc>
        <w:tc>
          <w:tcPr>
            <w:tcW w:w="5664" w:type="dxa"/>
          </w:tcPr>
          <w:p>
            <w:pPr>
              <w:spacing w:line="600" w:lineRule="exact"/>
              <w:rPr>
                <w:rFonts w:hint="default"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4月30日前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3" w:type="dxa"/>
          </w:tcPr>
          <w:p>
            <w:pPr>
              <w:spacing w:line="600" w:lineRule="exact"/>
              <w:rPr>
                <w:rFonts w:hint="default"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考点申报</w:t>
            </w:r>
          </w:p>
        </w:tc>
        <w:tc>
          <w:tcPr>
            <w:tcW w:w="5664" w:type="dxa"/>
          </w:tcPr>
          <w:p>
            <w:pPr>
              <w:spacing w:line="600" w:lineRule="exact"/>
              <w:rPr>
                <w:rFonts w:hint="default"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5月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3" w:type="dxa"/>
          </w:tcPr>
          <w:p>
            <w:pPr>
              <w:spacing w:line="600" w:lineRule="exact"/>
              <w:rPr>
                <w:rFonts w:hint="default"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考培员培训</w:t>
            </w:r>
          </w:p>
        </w:tc>
        <w:tc>
          <w:tcPr>
            <w:tcW w:w="5664" w:type="dxa"/>
          </w:tcPr>
          <w:p>
            <w:pPr>
              <w:spacing w:line="600" w:lineRule="exact"/>
              <w:rPr>
                <w:rFonts w:hint="default"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5月、6月、7月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3" w:type="dxa"/>
          </w:tcPr>
          <w:p>
            <w:pPr>
              <w:spacing w:line="600" w:lineRule="exact"/>
              <w:rPr>
                <w:rFonts w:hint="default"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师资培训</w:t>
            </w:r>
          </w:p>
        </w:tc>
        <w:tc>
          <w:tcPr>
            <w:tcW w:w="5664" w:type="dxa"/>
          </w:tcPr>
          <w:p>
            <w:pPr>
              <w:spacing w:line="600" w:lineRule="exact"/>
              <w:rPr>
                <w:rFonts w:hint="eastAsia"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初级：4-12月，每月培训1-3场</w:t>
            </w:r>
          </w:p>
          <w:p>
            <w:pPr>
              <w:spacing w:line="600" w:lineRule="exact"/>
              <w:rPr>
                <w:rFonts w:hint="eastAsia"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中级：5-12月，每月培训1-2场</w:t>
            </w:r>
          </w:p>
          <w:p>
            <w:pPr>
              <w:spacing w:line="600" w:lineRule="exact"/>
              <w:rPr>
                <w:rFonts w:hint="eastAsia"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高级：8和10月，每月各2-3场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3" w:type="dxa"/>
          </w:tcPr>
          <w:p>
            <w:pPr>
              <w:spacing w:line="600" w:lineRule="exact"/>
              <w:rPr>
                <w:rFonts w:hint="default"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课证融通教学/集中培训</w:t>
            </w:r>
          </w:p>
        </w:tc>
        <w:tc>
          <w:tcPr>
            <w:tcW w:w="5664" w:type="dxa"/>
          </w:tcPr>
          <w:p>
            <w:pPr>
              <w:spacing w:line="600" w:lineRule="exact"/>
              <w:rPr>
                <w:rFonts w:hint="default"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各院校根据考试时间自行和教学安排自行计划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3" w:type="dxa"/>
          </w:tcPr>
          <w:p>
            <w:pPr>
              <w:spacing w:line="600" w:lineRule="exact"/>
              <w:rPr>
                <w:rFonts w:hint="default"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考试安排</w:t>
            </w:r>
          </w:p>
        </w:tc>
        <w:tc>
          <w:tcPr>
            <w:tcW w:w="5664" w:type="dxa"/>
          </w:tcPr>
          <w:p>
            <w:pPr>
              <w:spacing w:line="600" w:lineRule="exact"/>
              <w:rPr>
                <w:rFonts w:hint="default"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初级：4、5、6、7、9、10、11、12月</w:t>
            </w:r>
          </w:p>
          <w:p>
            <w:pPr>
              <w:spacing w:line="600" w:lineRule="exact"/>
              <w:rPr>
                <w:rFonts w:hint="eastAsia"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中级：5、6、7、9、10、11、12月</w:t>
            </w:r>
          </w:p>
          <w:p>
            <w:pPr>
              <w:spacing w:line="600" w:lineRule="exact"/>
              <w:rPr>
                <w:rFonts w:hint="default" w:ascii="Times New Roman" w:hAnsi="Times New Roman" w:eastAsia="仿宋_GB2312" w:cs="Times New Roman"/>
                <w:color w:val="FF0000"/>
                <w:sz w:val="32"/>
                <w:lang w:val="en-US" w:eastAsia="zh-CN"/>
              </w:rPr>
            </w:pPr>
            <w:r>
              <w:rPr>
                <w:rFonts w:hint="eastAsia" w:ascii="Times New Roman" w:hAnsi="Times New Roman" w:eastAsia="仿宋_GB2312" w:cs="Times New Roman"/>
                <w:color w:val="FF0000"/>
                <w:sz w:val="32"/>
                <w:lang w:val="en-US" w:eastAsia="zh-CN"/>
              </w:rPr>
              <w:t>高级：9、11月</w:t>
            </w:r>
          </w:p>
        </w:tc>
      </w:tr>
    </w:tbl>
    <w:p>
      <w:pPr>
        <w:rPr>
          <w:sz w:val="32"/>
          <w:szCs w:val="32"/>
        </w:rPr>
      </w:pPr>
      <w:r>
        <w:rPr>
          <w:rFonts w:hint="eastAsia" w:ascii="Times New Roman" w:hAnsi="Times New Roman" w:eastAsia="黑体" w:cs="Times New Roman"/>
          <w:color w:val="FF0000"/>
          <w:sz w:val="32"/>
          <w:lang w:val="en-US" w:eastAsia="zh-CN"/>
        </w:rPr>
        <w:t>备注:</w:t>
      </w:r>
      <w:r>
        <w:rPr>
          <w:rFonts w:hint="eastAsia" w:ascii="Times New Roman" w:hAnsi="Times New Roman" w:eastAsia="黑体" w:cs="Times New Roman"/>
          <w:color w:val="FF0000"/>
          <w:sz w:val="32"/>
        </w:rPr>
        <w:t>此为评价组织暂定计划，院校</w:t>
      </w:r>
      <w:r>
        <w:rPr>
          <w:rFonts w:hint="eastAsia" w:ascii="Times New Roman" w:hAnsi="Times New Roman" w:eastAsia="黑体" w:cs="Times New Roman"/>
          <w:color w:val="FF0000"/>
          <w:sz w:val="32"/>
          <w:lang w:val="en-US" w:eastAsia="zh-CN"/>
        </w:rPr>
        <w:t>可</w:t>
      </w:r>
      <w:r>
        <w:rPr>
          <w:rFonts w:hint="eastAsia" w:ascii="Times New Roman" w:hAnsi="Times New Roman" w:eastAsia="黑体" w:cs="Times New Roman"/>
          <w:color w:val="FF0000"/>
          <w:sz w:val="32"/>
        </w:rPr>
        <w:t>结合</w:t>
      </w:r>
      <w:r>
        <w:rPr>
          <w:rFonts w:hint="eastAsia" w:ascii="Times New Roman" w:hAnsi="Times New Roman" w:eastAsia="黑体" w:cs="Times New Roman"/>
          <w:color w:val="FF0000"/>
          <w:sz w:val="32"/>
          <w:lang w:val="en-US" w:eastAsia="zh-CN"/>
        </w:rPr>
        <w:t>自身</w:t>
      </w:r>
      <w:r>
        <w:rPr>
          <w:rFonts w:hint="eastAsia" w:ascii="Times New Roman" w:hAnsi="Times New Roman" w:eastAsia="黑体" w:cs="Times New Roman"/>
          <w:color w:val="FF0000"/>
          <w:sz w:val="32"/>
        </w:rPr>
        <w:t>情况</w:t>
      </w:r>
      <w:r>
        <w:rPr>
          <w:rFonts w:hint="eastAsia" w:ascii="Times New Roman" w:hAnsi="Times New Roman" w:eastAsia="黑体" w:cs="Times New Roman"/>
          <w:color w:val="FF0000"/>
          <w:sz w:val="32"/>
          <w:lang w:val="en-US" w:eastAsia="zh-CN"/>
        </w:rPr>
        <w:t>选择参与</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DF3D1C"/>
    <w:multiLevelType w:val="singleLevel"/>
    <w:tmpl w:val="BCDF3D1C"/>
    <w:lvl w:ilvl="0" w:tentative="0">
      <w:start w:val="1"/>
      <w:numFmt w:val="decimal"/>
      <w:lvlText w:val="%1."/>
      <w:lvlJc w:val="left"/>
      <w:pPr>
        <w:tabs>
          <w:tab w:val="left" w:pos="312"/>
        </w:tabs>
      </w:pPr>
    </w:lvl>
  </w:abstractNum>
  <w:abstractNum w:abstractNumId="1">
    <w:nsid w:val="32C1CD45"/>
    <w:multiLevelType w:val="singleLevel"/>
    <w:tmpl w:val="32C1CD45"/>
    <w:lvl w:ilvl="0" w:tentative="0">
      <w:start w:val="1"/>
      <w:numFmt w:val="decimal"/>
      <w:lvlText w:val="%1."/>
      <w:lvlJc w:val="left"/>
      <w:pPr>
        <w:tabs>
          <w:tab w:val="left" w:pos="312"/>
        </w:tabs>
      </w:pPr>
    </w:lvl>
  </w:abstractNum>
  <w:abstractNum w:abstractNumId="2">
    <w:nsid w:val="5971FBEF"/>
    <w:multiLevelType w:val="singleLevel"/>
    <w:tmpl w:val="5971FBEF"/>
    <w:lvl w:ilvl="0" w:tentative="0">
      <w:start w:val="1"/>
      <w:numFmt w:val="decimal"/>
      <w:lvlText w:val="%1."/>
      <w:lvlJc w:val="left"/>
      <w:pPr>
        <w:tabs>
          <w:tab w:val="left" w:pos="312"/>
        </w:tabs>
      </w:pPr>
    </w:lvl>
  </w:abstractNum>
  <w:abstractNum w:abstractNumId="3">
    <w:nsid w:val="7ED20B0F"/>
    <w:multiLevelType w:val="singleLevel"/>
    <w:tmpl w:val="7ED20B0F"/>
    <w:lvl w:ilvl="0" w:tentative="0">
      <w:start w:val="1"/>
      <w:numFmt w:val="decimal"/>
      <w:lvlText w:val="%1."/>
      <w:lvlJc w:val="left"/>
      <w:pPr>
        <w:tabs>
          <w:tab w:val="left" w:pos="312"/>
        </w:tabs>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B54"/>
    <w:rsid w:val="0004184A"/>
    <w:rsid w:val="000D40F2"/>
    <w:rsid w:val="000E221D"/>
    <w:rsid w:val="001C4B54"/>
    <w:rsid w:val="002752EE"/>
    <w:rsid w:val="00286CC0"/>
    <w:rsid w:val="002B0025"/>
    <w:rsid w:val="0032074E"/>
    <w:rsid w:val="003311F6"/>
    <w:rsid w:val="00392117"/>
    <w:rsid w:val="00397D74"/>
    <w:rsid w:val="004921BC"/>
    <w:rsid w:val="005D21C5"/>
    <w:rsid w:val="00670548"/>
    <w:rsid w:val="006A6A70"/>
    <w:rsid w:val="006C2157"/>
    <w:rsid w:val="006F15C0"/>
    <w:rsid w:val="007660CC"/>
    <w:rsid w:val="00831380"/>
    <w:rsid w:val="009145A7"/>
    <w:rsid w:val="00937649"/>
    <w:rsid w:val="009F1B18"/>
    <w:rsid w:val="00C23CC2"/>
    <w:rsid w:val="00D137C2"/>
    <w:rsid w:val="00DA0F1C"/>
    <w:rsid w:val="00EC61F1"/>
    <w:rsid w:val="00F31188"/>
    <w:rsid w:val="01556215"/>
    <w:rsid w:val="101047FB"/>
    <w:rsid w:val="13B831FE"/>
    <w:rsid w:val="16A319DF"/>
    <w:rsid w:val="1DBC5FC7"/>
    <w:rsid w:val="2683414F"/>
    <w:rsid w:val="281D378B"/>
    <w:rsid w:val="291E5621"/>
    <w:rsid w:val="2A323044"/>
    <w:rsid w:val="2E3732C4"/>
    <w:rsid w:val="382F7700"/>
    <w:rsid w:val="39854CEA"/>
    <w:rsid w:val="3CE257FE"/>
    <w:rsid w:val="4F8531E2"/>
    <w:rsid w:val="777E3B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1"/>
    <w:rPr>
      <w:sz w:val="32"/>
      <w:szCs w:val="32"/>
    </w:rPr>
  </w:style>
  <w:style w:type="paragraph" w:styleId="4">
    <w:name w:val="Balloon Text"/>
    <w:basedOn w:val="1"/>
    <w:link w:val="11"/>
    <w:semiHidden/>
    <w:unhideWhenUsed/>
    <w:uiPriority w:val="99"/>
    <w:rPr>
      <w:sz w:val="18"/>
      <w:szCs w:val="18"/>
    </w:rPr>
  </w:style>
  <w:style w:type="paragraph" w:styleId="5">
    <w:name w:val="footer"/>
    <w:basedOn w:val="1"/>
    <w:link w:val="14"/>
    <w:unhideWhenUsed/>
    <w:uiPriority w:val="99"/>
    <w:pPr>
      <w:tabs>
        <w:tab w:val="center" w:pos="4153"/>
        <w:tab w:val="right" w:pos="8306"/>
      </w:tabs>
      <w:snapToGrid w:val="0"/>
      <w:jc w:val="left"/>
    </w:pPr>
    <w:rPr>
      <w:sz w:val="18"/>
      <w:szCs w:val="18"/>
    </w:rPr>
  </w:style>
  <w:style w:type="paragraph" w:styleId="6">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0"/>
    <w:pPr>
      <w:spacing w:before="0" w:beforeAutospacing="1" w:after="0" w:afterAutospacing="1"/>
      <w:ind w:left="0" w:right="0"/>
      <w:jc w:val="left"/>
    </w:pPr>
    <w:rPr>
      <w:kern w:val="0"/>
      <w:sz w:val="24"/>
      <w:lang w:val="en-US" w:eastAsia="zh-CN" w:bidi="ar"/>
    </w:rPr>
  </w:style>
  <w:style w:type="table" w:styleId="9">
    <w:name w:val="Table Grid"/>
    <w:basedOn w:val="8"/>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批注框文本 字符"/>
    <w:basedOn w:val="10"/>
    <w:link w:val="4"/>
    <w:semiHidden/>
    <w:qFormat/>
    <w:uiPriority w:val="99"/>
    <w:rPr>
      <w:sz w:val="18"/>
      <w:szCs w:val="18"/>
    </w:rPr>
  </w:style>
  <w:style w:type="character" w:customStyle="1" w:styleId="12">
    <w:name w:val="标题 1 字符"/>
    <w:basedOn w:val="10"/>
    <w:link w:val="2"/>
    <w:qFormat/>
    <w:uiPriority w:val="0"/>
    <w:rPr>
      <w:rFonts w:ascii="Times New Roman" w:hAnsi="Times New Roman" w:eastAsia="宋体" w:cs="Times New Roman"/>
      <w:b/>
      <w:bCs/>
      <w:kern w:val="44"/>
      <w:sz w:val="44"/>
      <w:szCs w:val="44"/>
    </w:rPr>
  </w:style>
  <w:style w:type="character" w:customStyle="1" w:styleId="13">
    <w:name w:val="页眉 字符"/>
    <w:basedOn w:val="10"/>
    <w:link w:val="6"/>
    <w:uiPriority w:val="99"/>
    <w:rPr>
      <w:sz w:val="18"/>
      <w:szCs w:val="18"/>
    </w:rPr>
  </w:style>
  <w:style w:type="character" w:customStyle="1" w:styleId="14">
    <w:name w:val="页脚 字符"/>
    <w:basedOn w:val="10"/>
    <w:link w:val="5"/>
    <w:qFormat/>
    <w:uiPriority w:val="99"/>
    <w:rPr>
      <w:sz w:val="18"/>
      <w:szCs w:val="18"/>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645</Words>
  <Characters>3677</Characters>
  <Lines>30</Lines>
  <Paragraphs>8</Paragraphs>
  <TotalTime>6</TotalTime>
  <ScaleCrop>false</ScaleCrop>
  <LinksUpToDate>false</LinksUpToDate>
  <CharactersWithSpaces>4314</CharactersWithSpaces>
  <Application>WPS Office_11.1.0.10359_F1E327BC-269C-435d-A152-05C5408002CA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2020-04-16T01:58:00Z</dcterms:created>
  <dc:creator>User</dc:creator>
  <cp:lastModifiedBy>YINHONGKE</cp:lastModifiedBy>
  <cp:lastPrinted>2020-04-27T23:50:00Z</cp:lastPrinted>
  <dcterms:modified xsi:type="dcterms:W3CDTF">2021-04-20T01:45:40Z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2052-11.1.0.10359</vt:lpwstr>
  </property>
  <property fmtid="{D5CDD505-2E9C-101B-9397-08002B2CF9AE}" pid="3" name="ICV">
    <vt:lpwstr>D2F05946E0FF43A6B1C02D724DF18637</vt:lpwstr>
  </property>
</Properties>
</file>